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7DF30BF3" w14:textId="114514BE" w:rsidR="004949B7" w:rsidRPr="00A43290" w:rsidRDefault="00740046" w:rsidP="004949B7">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p>
    <w:p w14:paraId="1E9BB3CA" w14:textId="6F79086C" w:rsidR="00A43290" w:rsidRPr="00A43290" w:rsidRDefault="007A3E3C" w:rsidP="00A43290">
      <w:pPr>
        <w:jc w:val="center"/>
        <w:rPr>
          <w:b/>
          <w:shd w:val="clear" w:color="auto" w:fill="FFFFFF"/>
        </w:rPr>
      </w:pPr>
      <w:bookmarkStart w:id="0" w:name="_Hlk158401624"/>
      <w:r w:rsidRPr="007A3E3C">
        <w:rPr>
          <w:b/>
          <w:shd w:val="clear" w:color="auto" w:fill="FFFFFF"/>
        </w:rPr>
        <w:t>15610000-7 - Продукція борошномельно-круп'яної промисловості (продукція борошномельно-круп'яної промисловості)</w:t>
      </w:r>
      <w:bookmarkEnd w:id="0"/>
    </w:p>
    <w:p w14:paraId="5FB03ABC" w14:textId="06CA29AC" w:rsidR="00C76018" w:rsidRPr="00C76018" w:rsidRDefault="00740046" w:rsidP="00C76018">
      <w:pPr>
        <w:widowControl/>
        <w:suppressAutoHyphens w:val="0"/>
        <w:spacing w:line="240" w:lineRule="atLeast"/>
        <w:jc w:val="center"/>
        <w:rPr>
          <w:rFonts w:ascii="Arial" w:eastAsia="Times New Roman" w:hAnsi="Arial" w:cs="Arial"/>
          <w:color w:val="6D6D6D"/>
          <w:sz w:val="21"/>
          <w:szCs w:val="21"/>
          <w:lang w:val="ru-UA" w:eastAsia="ru-UA" w:bidi="ar-SA"/>
        </w:rPr>
      </w:pPr>
      <w:r w:rsidRPr="008A2C62">
        <w:rPr>
          <w:b/>
          <w:shd w:val="clear" w:color="auto" w:fill="FFFFFF"/>
        </w:rPr>
        <w:t>І</w:t>
      </w:r>
      <w:r w:rsidR="009D753E" w:rsidRPr="008A2C62">
        <w:rPr>
          <w:b/>
          <w:shd w:val="clear" w:color="auto" w:fill="FFFFFF"/>
        </w:rPr>
        <w:t>дентифікаційний номер в електронній системі закупівель</w:t>
      </w:r>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B939E1" w:rsidRPr="00683110">
        <w:rPr>
          <w:b/>
          <w:highlight w:val="yellow"/>
          <w:shd w:val="clear" w:color="auto" w:fill="FFFFFF"/>
        </w:rPr>
        <w:t xml:space="preserve"> </w:t>
      </w:r>
      <w:r w:rsidR="00B939E1" w:rsidRPr="00683110">
        <w:rPr>
          <w:b/>
          <w:highlight w:val="yellow"/>
          <w:shd w:val="clear" w:color="auto" w:fill="FFFFFF"/>
        </w:rPr>
        <w:br/>
      </w:r>
      <w:hyperlink r:id="rId5" w:tgtFrame="_blank" w:tooltip="Оголошення на порталі Уповноваженого органу" w:history="1">
        <w:r w:rsidR="00C76018" w:rsidRPr="00C76018">
          <w:rPr>
            <w:rFonts w:ascii="Arial" w:eastAsia="Times New Roman" w:hAnsi="Arial" w:cs="Arial"/>
            <w:sz w:val="21"/>
            <w:szCs w:val="21"/>
            <w:bdr w:val="none" w:sz="0" w:space="0" w:color="auto" w:frame="1"/>
            <w:lang w:val="ru-UA" w:eastAsia="ru-UA" w:bidi="ar-SA"/>
          </w:rPr>
          <w:br/>
          <w:t>UA-2024-02-09-013803-a</w:t>
        </w:r>
      </w:hyperlink>
    </w:p>
    <w:p w14:paraId="01A9BE6C" w14:textId="219FCFC2"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4E4BCD">
        <w:rPr>
          <w:b/>
          <w:shd w:val="clear" w:color="auto" w:fill="FFFFFF"/>
        </w:rPr>
        <w:t>337304</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C76018"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2AB84B7A" w14:textId="120D9F9F" w:rsidR="00683110"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7A3E3C" w:rsidRPr="007A3E3C">
        <w:rPr>
          <w:shd w:val="clear" w:color="auto" w:fill="FFFFFF"/>
        </w:rPr>
        <w:t>15610000-7 - Продукція борошномельно-круп'яної промисловості (продукція борошномельно-круп'яної промисловості)</w:t>
      </w:r>
    </w:p>
    <w:p w14:paraId="652B66DD" w14:textId="42A2EA94"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6B6888">
        <w:rPr>
          <w:shd w:val="clear" w:color="auto" w:fill="FFFFFF"/>
        </w:rPr>
        <w:t>9</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0ECB0549"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C76018" w:rsidRPr="00C76018">
        <w:t>UA-2024-02-09-013803-a</w:t>
      </w:r>
      <w:bookmarkStart w:id="1" w:name="_GoBack"/>
      <w:bookmarkEnd w:id="1"/>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в електронній системі закупівель "</w:t>
      </w:r>
      <w:r w:rsidRPr="00650C1C">
        <w:rPr>
          <w:rFonts w:eastAsia="Times New Roman" w:cs="Times New Roman"/>
        </w:rPr>
        <w:t>Prozorro</w:t>
      </w:r>
      <w:r w:rsidRPr="00777FC3">
        <w:rPr>
          <w:rFonts w:eastAsia="Times New Roman" w:cs="Times New Roman"/>
        </w:rPr>
        <w:t>".</w:t>
      </w:r>
    </w:p>
    <w:p w14:paraId="4C59DC8D" w14:textId="715FC475" w:rsidR="0048695A" w:rsidRDefault="00422FB2" w:rsidP="006304C7">
      <w:pPr>
        <w:jc w:val="both"/>
        <w:rPr>
          <w:shd w:val="clear" w:color="auto" w:fill="FFFFFF"/>
        </w:rPr>
      </w:pPr>
      <w:r w:rsidRPr="008A2C62">
        <w:rPr>
          <w:shd w:val="clear" w:color="auto" w:fill="FFFFFF"/>
        </w:rPr>
        <w:t xml:space="preserve">10. </w:t>
      </w:r>
      <w:r w:rsidR="00932478" w:rsidRPr="008A2C62">
        <w:rPr>
          <w:shd w:val="clear" w:color="auto" w:fill="FFFFFF"/>
        </w:rPr>
        <w:t xml:space="preserve">Інформація про технічні, якісні та інші характеристики предмета закупівлі: </w:t>
      </w:r>
    </w:p>
    <w:p w14:paraId="0200A4F5" w14:textId="6DC50692" w:rsidR="007A3E3C" w:rsidRDefault="007A3E3C" w:rsidP="006304C7">
      <w:pPr>
        <w:jc w:val="both"/>
        <w:rPr>
          <w:shd w:val="clear" w:color="auto" w:fill="FFFFFF"/>
        </w:rPr>
      </w:pPr>
    </w:p>
    <w:p w14:paraId="3FDAEDB8" w14:textId="77777777" w:rsidR="007A3E3C" w:rsidRPr="00B15032" w:rsidRDefault="007A3E3C" w:rsidP="007A3E3C">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4CDE7A12" w14:textId="77777777" w:rsidR="007A3E3C" w:rsidRPr="00B15032" w:rsidRDefault="007A3E3C" w:rsidP="007A3E3C">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bookmarkStart w:id="2" w:name="_Hlk140045884"/>
      <w:r w:rsidRPr="00924E51">
        <w:rPr>
          <w:rFonts w:eastAsia="Times New Roman" w:cs="Times New Roman"/>
          <w:b/>
          <w:i/>
          <w:sz w:val="20"/>
          <w:szCs w:val="20"/>
          <w:highlight w:val="white"/>
        </w:rPr>
        <w:t>15610000-7 - Продукція борошномельно-круп'яної промисловості (продукція борошномельно-круп'яної промисловості)</w:t>
      </w:r>
      <w:r w:rsidRPr="00633094">
        <w:rPr>
          <w:rFonts w:eastAsia="Times New Roman" w:cs="Times New Roman"/>
          <w:b/>
          <w:i/>
          <w:sz w:val="20"/>
          <w:szCs w:val="20"/>
          <w:highlight w:val="white"/>
        </w:rPr>
        <w:t xml:space="preserve">  </w:t>
      </w:r>
      <w:bookmarkEnd w:id="2"/>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0DFDD04C" w14:textId="77777777" w:rsidR="007A3E3C" w:rsidRPr="00B15032" w:rsidRDefault="007A3E3C" w:rsidP="007A3E3C">
      <w:pPr>
        <w:pBdr>
          <w:top w:val="nil"/>
          <w:left w:val="nil"/>
          <w:bottom w:val="nil"/>
          <w:right w:val="nil"/>
          <w:between w:val="nil"/>
        </w:pBdr>
        <w:shd w:val="clear" w:color="auto" w:fill="FFFFFF"/>
        <w:jc w:val="center"/>
        <w:rPr>
          <w:rFonts w:eastAsia="Times New Roman" w:cs="Times New Roman"/>
          <w:b/>
          <w:i/>
          <w:sz w:val="20"/>
          <w:szCs w:val="20"/>
        </w:rPr>
      </w:pPr>
    </w:p>
    <w:p w14:paraId="5D2C9939" w14:textId="77777777" w:rsidR="007A3E3C" w:rsidRPr="00B15032" w:rsidRDefault="007A3E3C" w:rsidP="007A3E3C">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7A3E3C" w:rsidRPr="00B15032" w14:paraId="6791B984" w14:textId="77777777" w:rsidTr="00CE6FCD">
        <w:tc>
          <w:tcPr>
            <w:tcW w:w="4740" w:type="dxa"/>
            <w:shd w:val="clear" w:color="auto" w:fill="auto"/>
            <w:tcMar>
              <w:top w:w="100" w:type="dxa"/>
              <w:left w:w="100" w:type="dxa"/>
              <w:bottom w:w="100" w:type="dxa"/>
              <w:right w:w="100" w:type="dxa"/>
            </w:tcMar>
          </w:tcPr>
          <w:p w14:paraId="12FF0098" w14:textId="77777777" w:rsidR="007A3E3C" w:rsidRPr="00B15032" w:rsidRDefault="007A3E3C" w:rsidP="00CE6FCD">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5BC67560" w14:textId="77777777" w:rsidR="007A3E3C" w:rsidRPr="0029303D" w:rsidRDefault="007A3E3C" w:rsidP="00CE6FCD">
            <w:pPr>
              <w:pStyle w:val="a3"/>
              <w:jc w:val="center"/>
              <w:rPr>
                <w:b/>
                <w:i/>
                <w:color w:val="000000"/>
                <w:sz w:val="20"/>
                <w:szCs w:val="20"/>
                <w:highlight w:val="white"/>
                <w:lang w:eastAsia="ru-RU"/>
              </w:rPr>
            </w:pPr>
            <w:r w:rsidRPr="00607708">
              <w:rPr>
                <w:b/>
                <w:i/>
                <w:sz w:val="20"/>
                <w:szCs w:val="20"/>
              </w:rPr>
              <w:t>продукція борошномельно-круп'яної промисловості</w:t>
            </w:r>
          </w:p>
        </w:tc>
      </w:tr>
      <w:tr w:rsidR="007A3E3C" w:rsidRPr="00B15032" w14:paraId="71605CD1" w14:textId="77777777" w:rsidTr="00CE6FCD">
        <w:tc>
          <w:tcPr>
            <w:tcW w:w="4740" w:type="dxa"/>
            <w:shd w:val="clear" w:color="auto" w:fill="auto"/>
            <w:tcMar>
              <w:top w:w="100" w:type="dxa"/>
              <w:left w:w="100" w:type="dxa"/>
              <w:bottom w:w="100" w:type="dxa"/>
              <w:right w:w="100" w:type="dxa"/>
            </w:tcMar>
          </w:tcPr>
          <w:p w14:paraId="5C86EE65" w14:textId="77777777" w:rsidR="007A3E3C" w:rsidRPr="00B15032" w:rsidRDefault="007A3E3C" w:rsidP="00CE6FCD">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3F7472AE" w14:textId="77777777" w:rsidR="007A3E3C" w:rsidRPr="00F838A3" w:rsidRDefault="007A3E3C" w:rsidP="00CE6FCD">
            <w:pPr>
              <w:jc w:val="center"/>
              <w:rPr>
                <w:b/>
                <w:i/>
                <w:sz w:val="20"/>
                <w:szCs w:val="20"/>
              </w:rPr>
            </w:pPr>
            <w:r w:rsidRPr="00607708">
              <w:rPr>
                <w:b/>
                <w:i/>
                <w:sz w:val="20"/>
                <w:szCs w:val="20"/>
              </w:rPr>
              <w:t xml:space="preserve">15610000-7 - Продукція борошномельно-круп'яної промисловості </w:t>
            </w:r>
          </w:p>
        </w:tc>
      </w:tr>
      <w:tr w:rsidR="007A3E3C" w:rsidRPr="00B15032" w14:paraId="555E880A" w14:textId="77777777" w:rsidTr="00CE6FCD">
        <w:tc>
          <w:tcPr>
            <w:tcW w:w="4740" w:type="dxa"/>
            <w:shd w:val="clear" w:color="auto" w:fill="auto"/>
            <w:tcMar>
              <w:top w:w="100" w:type="dxa"/>
              <w:left w:w="100" w:type="dxa"/>
              <w:bottom w:w="100" w:type="dxa"/>
              <w:right w:w="100" w:type="dxa"/>
            </w:tcMar>
          </w:tcPr>
          <w:p w14:paraId="18D5B570" w14:textId="77777777" w:rsidR="007A3E3C" w:rsidRPr="00B15032" w:rsidRDefault="007A3E3C" w:rsidP="00CE6FCD">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599E58BC" w14:textId="77777777" w:rsidR="007A3E3C" w:rsidRDefault="007A3E3C" w:rsidP="00CE6FCD">
            <w:pPr>
              <w:jc w:val="center"/>
              <w:rPr>
                <w:b/>
                <w:i/>
                <w:sz w:val="20"/>
                <w:szCs w:val="20"/>
              </w:rPr>
            </w:pPr>
            <w:r w:rsidRPr="00607708">
              <w:rPr>
                <w:b/>
                <w:i/>
                <w:sz w:val="20"/>
                <w:szCs w:val="20"/>
              </w:rPr>
              <w:t xml:space="preserve">15612100-2 - Борошно пшеничне, </w:t>
            </w:r>
          </w:p>
          <w:p w14:paraId="2ABF1657" w14:textId="77777777" w:rsidR="007A3E3C" w:rsidRDefault="007A3E3C" w:rsidP="00CE6FCD">
            <w:pPr>
              <w:jc w:val="center"/>
              <w:rPr>
                <w:b/>
                <w:i/>
                <w:sz w:val="20"/>
                <w:szCs w:val="20"/>
              </w:rPr>
            </w:pPr>
            <w:r w:rsidRPr="00607708">
              <w:rPr>
                <w:b/>
                <w:i/>
                <w:sz w:val="20"/>
                <w:szCs w:val="20"/>
              </w:rPr>
              <w:t xml:space="preserve">15613000-8 - Продукція із зерна зернових культур, </w:t>
            </w:r>
            <w:r w:rsidRPr="00E4713E">
              <w:rPr>
                <w:b/>
                <w:i/>
                <w:sz w:val="20"/>
                <w:szCs w:val="20"/>
              </w:rPr>
              <w:t>15613100-9 - Вівсяна крупа</w:t>
            </w:r>
            <w:r w:rsidRPr="00607708">
              <w:rPr>
                <w:b/>
                <w:i/>
                <w:sz w:val="20"/>
                <w:szCs w:val="20"/>
              </w:rPr>
              <w:t xml:space="preserve"> </w:t>
            </w:r>
            <w:r>
              <w:rPr>
                <w:b/>
                <w:i/>
                <w:sz w:val="20"/>
                <w:szCs w:val="20"/>
              </w:rPr>
              <w:t xml:space="preserve">, </w:t>
            </w:r>
          </w:p>
          <w:p w14:paraId="7FC8CC9C" w14:textId="77777777" w:rsidR="007A3E3C" w:rsidRPr="00633094" w:rsidRDefault="007A3E3C" w:rsidP="00CE6FCD">
            <w:pPr>
              <w:jc w:val="center"/>
              <w:rPr>
                <w:rFonts w:eastAsia="Times New Roman" w:cs="Times New Roman"/>
                <w:b/>
                <w:i/>
                <w:sz w:val="20"/>
                <w:szCs w:val="20"/>
                <w:highlight w:val="white"/>
              </w:rPr>
            </w:pPr>
            <w:r w:rsidRPr="00607708">
              <w:rPr>
                <w:b/>
                <w:i/>
                <w:sz w:val="20"/>
                <w:szCs w:val="20"/>
              </w:rPr>
              <w:t>15614200-7 - Рис шліфований</w:t>
            </w:r>
          </w:p>
        </w:tc>
      </w:tr>
      <w:tr w:rsidR="007A3E3C" w:rsidRPr="00B15032" w14:paraId="2A9F5A30" w14:textId="77777777" w:rsidTr="00CE6FCD">
        <w:tc>
          <w:tcPr>
            <w:tcW w:w="4740" w:type="dxa"/>
            <w:shd w:val="clear" w:color="auto" w:fill="auto"/>
            <w:tcMar>
              <w:top w:w="100" w:type="dxa"/>
              <w:left w:w="100" w:type="dxa"/>
              <w:bottom w:w="100" w:type="dxa"/>
              <w:right w:w="100" w:type="dxa"/>
            </w:tcMar>
          </w:tcPr>
          <w:p w14:paraId="2695BBC7" w14:textId="77777777" w:rsidR="007A3E3C" w:rsidRPr="00B15032" w:rsidRDefault="007A3E3C" w:rsidP="00CE6FCD">
            <w:pPr>
              <w:rPr>
                <w:rFonts w:eastAsia="Times New Roman" w:cs="Times New Roman"/>
                <w:sz w:val="20"/>
                <w:szCs w:val="20"/>
                <w:highlight w:val="white"/>
              </w:rPr>
            </w:pPr>
            <w:r w:rsidRPr="00B15032">
              <w:rPr>
                <w:rFonts w:eastAsia="Times New Roman" w:cs="Times New Roman"/>
                <w:sz w:val="20"/>
                <w:szCs w:val="20"/>
                <w:highlight w:val="white"/>
              </w:rPr>
              <w:lastRenderedPageBreak/>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59519A75" w14:textId="77777777" w:rsidR="007A3E3C" w:rsidRPr="00B15032" w:rsidRDefault="007A3E3C" w:rsidP="00CE6FCD">
            <w:pPr>
              <w:jc w:val="center"/>
              <w:rPr>
                <w:rFonts w:eastAsia="Times New Roman" w:cs="Times New Roman"/>
                <w:b/>
                <w:i/>
                <w:sz w:val="20"/>
                <w:szCs w:val="20"/>
                <w:highlight w:val="white"/>
              </w:rPr>
            </w:pPr>
            <w:r>
              <w:rPr>
                <w:rFonts w:eastAsia="Times New Roman" w:cs="Times New Roman"/>
                <w:b/>
                <w:i/>
                <w:sz w:val="20"/>
                <w:szCs w:val="20"/>
                <w:highlight w:val="white"/>
              </w:rPr>
              <w:t>Відповідно п.3</w:t>
            </w:r>
          </w:p>
        </w:tc>
      </w:tr>
      <w:tr w:rsidR="007A3E3C" w:rsidRPr="00B15032" w14:paraId="3BF450E3" w14:textId="77777777" w:rsidTr="00CE6FCD">
        <w:tc>
          <w:tcPr>
            <w:tcW w:w="4740" w:type="dxa"/>
            <w:shd w:val="clear" w:color="auto" w:fill="auto"/>
            <w:tcMar>
              <w:top w:w="100" w:type="dxa"/>
              <w:left w:w="100" w:type="dxa"/>
              <w:bottom w:w="100" w:type="dxa"/>
              <w:right w:w="100" w:type="dxa"/>
            </w:tcMar>
          </w:tcPr>
          <w:p w14:paraId="3E53BB8E" w14:textId="77777777" w:rsidR="007A3E3C" w:rsidRPr="00B15032" w:rsidRDefault="007A3E3C" w:rsidP="00CE6FCD">
            <w:pPr>
              <w:rPr>
                <w:rFonts w:eastAsia="Times New Roman" w:cs="Times New Roman"/>
                <w:sz w:val="20"/>
                <w:szCs w:val="20"/>
                <w:highlight w:val="white"/>
              </w:rPr>
            </w:pPr>
            <w:r w:rsidRPr="00B15032">
              <w:rPr>
                <w:rFonts w:eastAsia="Times New Roman" w:cs="Times New Roman"/>
                <w:sz w:val="20"/>
                <w:szCs w:val="20"/>
                <w:highlight w:val="white"/>
              </w:rPr>
              <w:t>Місце поставки товару / надання послуг / виконання робіт</w:t>
            </w:r>
          </w:p>
          <w:p w14:paraId="2D4F0171" w14:textId="77777777" w:rsidR="007A3E3C" w:rsidRPr="00B15032" w:rsidRDefault="007A3E3C" w:rsidP="00CE6FCD">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4AF71122" w14:textId="77777777" w:rsidR="007A3E3C" w:rsidRPr="00B15032" w:rsidRDefault="007A3E3C" w:rsidP="007A3E3C">
            <w:pPr>
              <w:pStyle w:val="a3"/>
              <w:spacing w:before="0" w:beforeAutospacing="0" w:after="0" w:afterAutospacing="0"/>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03593154" w14:textId="77777777" w:rsidR="007A3E3C" w:rsidRPr="00B15032" w:rsidRDefault="007A3E3C" w:rsidP="007A3E3C">
            <w:pPr>
              <w:pStyle w:val="a3"/>
              <w:spacing w:before="0" w:beforeAutospacing="0" w:after="0" w:afterAutospacing="0"/>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0FC60D2E" w14:textId="77777777" w:rsidR="007A3E3C" w:rsidRPr="00B15032" w:rsidRDefault="007A3E3C" w:rsidP="00CE6FCD">
            <w:pPr>
              <w:jc w:val="center"/>
              <w:rPr>
                <w:rFonts w:eastAsia="Times New Roman" w:cs="Times New Roman"/>
                <w:b/>
                <w:i/>
                <w:sz w:val="20"/>
                <w:szCs w:val="20"/>
                <w:highlight w:val="white"/>
              </w:rPr>
            </w:pPr>
          </w:p>
        </w:tc>
      </w:tr>
      <w:tr w:rsidR="007A3E3C" w:rsidRPr="00B15032" w14:paraId="02F1896A" w14:textId="77777777" w:rsidTr="00CE6FCD">
        <w:tc>
          <w:tcPr>
            <w:tcW w:w="4740" w:type="dxa"/>
            <w:shd w:val="clear" w:color="auto" w:fill="auto"/>
            <w:tcMar>
              <w:top w:w="100" w:type="dxa"/>
              <w:left w:w="100" w:type="dxa"/>
              <w:bottom w:w="100" w:type="dxa"/>
              <w:right w:w="100" w:type="dxa"/>
            </w:tcMar>
          </w:tcPr>
          <w:p w14:paraId="26CFF0A1" w14:textId="77777777" w:rsidR="007A3E3C" w:rsidRPr="00B15032" w:rsidRDefault="007A3E3C" w:rsidP="00CE6FCD">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124F1400" w14:textId="77777777" w:rsidR="007A3E3C" w:rsidRPr="00B15032" w:rsidRDefault="007A3E3C" w:rsidP="00CE6FCD">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7EBF10B9" w14:textId="77777777" w:rsidR="007A3E3C" w:rsidRPr="00B15032" w:rsidRDefault="007A3E3C" w:rsidP="00CE6FCD">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073152E5" w14:textId="77777777" w:rsidR="007A3E3C" w:rsidRPr="00B15032" w:rsidRDefault="007A3E3C" w:rsidP="007A3E3C">
      <w:pPr>
        <w:shd w:val="clear" w:color="auto" w:fill="FFFFFF"/>
        <w:ind w:firstLine="460"/>
        <w:jc w:val="both"/>
        <w:rPr>
          <w:rFonts w:eastAsia="Arial"/>
          <w:sz w:val="20"/>
          <w:szCs w:val="20"/>
        </w:rPr>
      </w:pPr>
      <w:r w:rsidRPr="00B15032">
        <w:rPr>
          <w:rFonts w:eastAsia="Arial"/>
          <w:sz w:val="20"/>
          <w:szCs w:val="20"/>
        </w:rPr>
        <w:t xml:space="preserve">          </w:t>
      </w:r>
    </w:p>
    <w:p w14:paraId="0A45D531" w14:textId="77777777" w:rsidR="007A3E3C" w:rsidRPr="00696812" w:rsidRDefault="007A3E3C" w:rsidP="007A3E3C">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34107389" w14:textId="77777777" w:rsidR="007A3E3C" w:rsidRPr="00696812" w:rsidRDefault="007A3E3C" w:rsidP="007A3E3C">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762D28EF" w14:textId="77777777" w:rsidR="007A3E3C" w:rsidRPr="00B15032" w:rsidRDefault="007A3E3C" w:rsidP="007A3E3C">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3D884DCA" w14:textId="77777777" w:rsidR="007A3E3C" w:rsidRPr="00B15032" w:rsidRDefault="007A3E3C" w:rsidP="007A3E3C">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311D06B1" w14:textId="77777777" w:rsidR="007A3E3C" w:rsidRPr="00B15032" w:rsidRDefault="007A3E3C" w:rsidP="007A3E3C">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419672A4" w14:textId="77777777" w:rsidR="007A3E3C" w:rsidRPr="00B15032" w:rsidRDefault="007A3E3C" w:rsidP="007A3E3C">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43B8DC36" w14:textId="77777777" w:rsidR="007A3E3C" w:rsidRPr="00B15032" w:rsidRDefault="007A3E3C" w:rsidP="007A3E3C">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хвороб»</w:t>
      </w:r>
    </w:p>
    <w:p w14:paraId="25E4ED45" w14:textId="77777777" w:rsidR="007A3E3C" w:rsidRPr="00B15032" w:rsidRDefault="007A3E3C" w:rsidP="007A3E3C">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5A6F27E3" w14:textId="77777777" w:rsidR="007A3E3C" w:rsidRPr="00B15032" w:rsidRDefault="007A3E3C" w:rsidP="007A3E3C">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755A15AA" w14:textId="77777777" w:rsidR="007A3E3C" w:rsidRPr="00B15032" w:rsidRDefault="007A3E3C" w:rsidP="007A3E3C">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7A3E3C" w:rsidRPr="00B15032" w14:paraId="7D45834D" w14:textId="77777777" w:rsidTr="00CE6FCD">
        <w:trPr>
          <w:trHeight w:val="652"/>
        </w:trPr>
        <w:tc>
          <w:tcPr>
            <w:tcW w:w="850" w:type="dxa"/>
            <w:vAlign w:val="center"/>
          </w:tcPr>
          <w:p w14:paraId="1BFE11AC" w14:textId="77777777" w:rsidR="007A3E3C" w:rsidRPr="00B15032" w:rsidRDefault="007A3E3C" w:rsidP="00CE6FCD">
            <w:pPr>
              <w:jc w:val="center"/>
              <w:rPr>
                <w:b/>
                <w:sz w:val="20"/>
                <w:szCs w:val="20"/>
              </w:rPr>
            </w:pPr>
            <w:r w:rsidRPr="00B15032">
              <w:rPr>
                <w:b/>
                <w:sz w:val="20"/>
                <w:szCs w:val="20"/>
              </w:rPr>
              <w:t xml:space="preserve">№ </w:t>
            </w:r>
          </w:p>
        </w:tc>
        <w:tc>
          <w:tcPr>
            <w:tcW w:w="6238" w:type="dxa"/>
            <w:vAlign w:val="center"/>
          </w:tcPr>
          <w:p w14:paraId="7CF8B126" w14:textId="77777777" w:rsidR="007A3E3C" w:rsidRPr="00B15032" w:rsidRDefault="007A3E3C" w:rsidP="00CE6FCD">
            <w:pPr>
              <w:jc w:val="center"/>
              <w:rPr>
                <w:b/>
                <w:sz w:val="20"/>
                <w:szCs w:val="20"/>
              </w:rPr>
            </w:pPr>
            <w:r w:rsidRPr="00B15032">
              <w:rPr>
                <w:b/>
                <w:sz w:val="20"/>
                <w:szCs w:val="20"/>
              </w:rPr>
              <w:t>Назва закладу</w:t>
            </w:r>
          </w:p>
        </w:tc>
        <w:tc>
          <w:tcPr>
            <w:tcW w:w="3544" w:type="dxa"/>
            <w:vAlign w:val="center"/>
          </w:tcPr>
          <w:p w14:paraId="6BB0EB73" w14:textId="77777777" w:rsidR="007A3E3C" w:rsidRPr="00B15032" w:rsidRDefault="007A3E3C" w:rsidP="00CE6FCD">
            <w:pPr>
              <w:jc w:val="center"/>
              <w:rPr>
                <w:b/>
                <w:sz w:val="20"/>
                <w:szCs w:val="20"/>
              </w:rPr>
            </w:pPr>
            <w:r w:rsidRPr="00B15032">
              <w:rPr>
                <w:b/>
                <w:sz w:val="20"/>
                <w:szCs w:val="20"/>
              </w:rPr>
              <w:t>Адреса</w:t>
            </w:r>
          </w:p>
        </w:tc>
      </w:tr>
      <w:tr w:rsidR="007A3E3C" w:rsidRPr="00B15032" w14:paraId="0F6E940E" w14:textId="77777777" w:rsidTr="00CE6FCD">
        <w:trPr>
          <w:trHeight w:val="652"/>
        </w:trPr>
        <w:tc>
          <w:tcPr>
            <w:tcW w:w="850" w:type="dxa"/>
            <w:vAlign w:val="center"/>
          </w:tcPr>
          <w:p w14:paraId="6ECB09CB" w14:textId="77777777" w:rsidR="007A3E3C" w:rsidRPr="00B15032" w:rsidRDefault="007A3E3C" w:rsidP="00CE6FCD">
            <w:pPr>
              <w:jc w:val="center"/>
              <w:rPr>
                <w:b/>
                <w:sz w:val="20"/>
                <w:szCs w:val="20"/>
              </w:rPr>
            </w:pPr>
            <w:r>
              <w:rPr>
                <w:b/>
                <w:sz w:val="20"/>
                <w:szCs w:val="20"/>
              </w:rPr>
              <w:t>1</w:t>
            </w:r>
          </w:p>
        </w:tc>
        <w:tc>
          <w:tcPr>
            <w:tcW w:w="6238" w:type="dxa"/>
            <w:vAlign w:val="center"/>
          </w:tcPr>
          <w:p w14:paraId="7E43B571" w14:textId="77777777" w:rsidR="007A3E3C" w:rsidRPr="00AB7576" w:rsidRDefault="007A3E3C" w:rsidP="00CE6FCD">
            <w:pPr>
              <w:rPr>
                <w:b/>
                <w:sz w:val="20"/>
                <w:szCs w:val="20"/>
              </w:rPr>
            </w:pPr>
            <w:r w:rsidRPr="00AB7576">
              <w:rPr>
                <w:rFonts w:eastAsia="Droid Sans Fallback"/>
                <w:kern w:val="1"/>
                <w:sz w:val="20"/>
                <w:szCs w:val="20"/>
                <w:lang w:eastAsia="zh-CN" w:bidi="hi-IN"/>
              </w:rPr>
              <w:t>КОМУНАЛЬНИЙ ЗАКЛАД «Буцинівський ліцей  Роздільнянської міської ради Одеської області»</w:t>
            </w:r>
          </w:p>
        </w:tc>
        <w:tc>
          <w:tcPr>
            <w:tcW w:w="3544" w:type="dxa"/>
            <w:vAlign w:val="center"/>
          </w:tcPr>
          <w:p w14:paraId="0694A445" w14:textId="77777777" w:rsidR="007A3E3C" w:rsidRPr="00B15032" w:rsidRDefault="007A3E3C" w:rsidP="00CE6FCD">
            <w:pPr>
              <w:rPr>
                <w:b/>
                <w:sz w:val="20"/>
                <w:szCs w:val="20"/>
              </w:rPr>
            </w:pPr>
            <w:r w:rsidRPr="00B15032">
              <w:rPr>
                <w:sz w:val="20"/>
                <w:szCs w:val="20"/>
              </w:rPr>
              <w:t>67461, Одеська обл., Роздільнянський р-н., с. Буцинівка, вул. Наливаного, 61</w:t>
            </w:r>
          </w:p>
        </w:tc>
      </w:tr>
      <w:tr w:rsidR="007A3E3C" w:rsidRPr="00B15032" w14:paraId="3A57E385" w14:textId="77777777" w:rsidTr="00CE6FCD">
        <w:trPr>
          <w:trHeight w:val="652"/>
        </w:trPr>
        <w:tc>
          <w:tcPr>
            <w:tcW w:w="850" w:type="dxa"/>
            <w:vAlign w:val="center"/>
          </w:tcPr>
          <w:p w14:paraId="20329E47" w14:textId="77777777" w:rsidR="007A3E3C" w:rsidRPr="00B15032" w:rsidRDefault="007A3E3C" w:rsidP="00CE6FCD">
            <w:pPr>
              <w:jc w:val="center"/>
              <w:rPr>
                <w:b/>
                <w:sz w:val="20"/>
                <w:szCs w:val="20"/>
              </w:rPr>
            </w:pPr>
            <w:r>
              <w:rPr>
                <w:b/>
                <w:sz w:val="20"/>
                <w:szCs w:val="20"/>
              </w:rPr>
              <w:t>2</w:t>
            </w:r>
          </w:p>
        </w:tc>
        <w:tc>
          <w:tcPr>
            <w:tcW w:w="6238" w:type="dxa"/>
            <w:vAlign w:val="center"/>
          </w:tcPr>
          <w:p w14:paraId="50EEBE51" w14:textId="77777777" w:rsidR="007A3E3C" w:rsidRPr="00AB7576" w:rsidRDefault="007A3E3C" w:rsidP="00CE6FCD">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72080FED" w14:textId="77777777" w:rsidR="007A3E3C" w:rsidRPr="00B15032" w:rsidRDefault="007A3E3C" w:rsidP="00CE6FCD">
            <w:pPr>
              <w:rPr>
                <w:b/>
                <w:sz w:val="20"/>
                <w:szCs w:val="20"/>
              </w:rPr>
            </w:pPr>
            <w:r w:rsidRPr="00B15032">
              <w:rPr>
                <w:sz w:val="20"/>
                <w:szCs w:val="20"/>
              </w:rPr>
              <w:t>67420, Одеська обл., Роздільнянський р-н., с. Виноградар, вул. Центральна 207-В</w:t>
            </w:r>
          </w:p>
        </w:tc>
      </w:tr>
      <w:tr w:rsidR="007A3E3C" w:rsidRPr="00B15032" w14:paraId="1C33665A" w14:textId="77777777" w:rsidTr="00CE6FCD">
        <w:trPr>
          <w:trHeight w:val="652"/>
        </w:trPr>
        <w:tc>
          <w:tcPr>
            <w:tcW w:w="850" w:type="dxa"/>
            <w:vAlign w:val="center"/>
          </w:tcPr>
          <w:p w14:paraId="58C038DC" w14:textId="77777777" w:rsidR="007A3E3C" w:rsidRPr="00B15032" w:rsidRDefault="007A3E3C" w:rsidP="00CE6FCD">
            <w:pPr>
              <w:jc w:val="center"/>
              <w:rPr>
                <w:b/>
                <w:sz w:val="20"/>
                <w:szCs w:val="20"/>
              </w:rPr>
            </w:pPr>
            <w:r>
              <w:rPr>
                <w:b/>
                <w:sz w:val="20"/>
                <w:szCs w:val="20"/>
              </w:rPr>
              <w:t>3</w:t>
            </w:r>
          </w:p>
        </w:tc>
        <w:tc>
          <w:tcPr>
            <w:tcW w:w="6238" w:type="dxa"/>
            <w:vAlign w:val="center"/>
          </w:tcPr>
          <w:p w14:paraId="61523E11" w14:textId="77777777" w:rsidR="007A3E3C" w:rsidRPr="00AB7576" w:rsidRDefault="007A3E3C" w:rsidP="00CE6FCD">
            <w:pPr>
              <w:rPr>
                <w:b/>
                <w:sz w:val="20"/>
                <w:szCs w:val="20"/>
              </w:rPr>
            </w:pPr>
            <w:r w:rsidRPr="00AB7576">
              <w:rPr>
                <w:rFonts w:eastAsia="Droid Sans Fallback"/>
                <w:kern w:val="1"/>
                <w:sz w:val="20"/>
                <w:szCs w:val="20"/>
                <w:lang w:eastAsia="zh-CN" w:bidi="hi-IN"/>
              </w:rPr>
              <w:t>КОМУНАЛЬНИЙ ЗАКЛАД «Єреміївський ліцей Роздільнянської міської ради Одеської області»</w:t>
            </w:r>
          </w:p>
        </w:tc>
        <w:tc>
          <w:tcPr>
            <w:tcW w:w="3544" w:type="dxa"/>
            <w:vAlign w:val="center"/>
          </w:tcPr>
          <w:p w14:paraId="2B23EC77" w14:textId="77777777" w:rsidR="007A3E3C" w:rsidRPr="00B15032" w:rsidRDefault="007A3E3C" w:rsidP="00CE6FCD">
            <w:pPr>
              <w:rPr>
                <w:b/>
                <w:sz w:val="20"/>
                <w:szCs w:val="20"/>
              </w:rPr>
            </w:pPr>
            <w:r w:rsidRPr="00B15032">
              <w:rPr>
                <w:sz w:val="20"/>
                <w:szCs w:val="20"/>
              </w:rPr>
              <w:t>67442, Одеська обл., Роздільнянський р-н., с. Єреміївка, вул. Центральна , 37</w:t>
            </w:r>
          </w:p>
        </w:tc>
      </w:tr>
      <w:tr w:rsidR="007A3E3C" w:rsidRPr="00B15032" w14:paraId="5013B5E3" w14:textId="77777777" w:rsidTr="00CE6FCD">
        <w:trPr>
          <w:trHeight w:val="652"/>
        </w:trPr>
        <w:tc>
          <w:tcPr>
            <w:tcW w:w="850" w:type="dxa"/>
            <w:vAlign w:val="center"/>
          </w:tcPr>
          <w:p w14:paraId="7AEA4B5B" w14:textId="77777777" w:rsidR="007A3E3C" w:rsidRPr="00B15032" w:rsidRDefault="007A3E3C" w:rsidP="00CE6FCD">
            <w:pPr>
              <w:jc w:val="center"/>
              <w:rPr>
                <w:b/>
                <w:sz w:val="20"/>
                <w:szCs w:val="20"/>
              </w:rPr>
            </w:pPr>
            <w:r>
              <w:rPr>
                <w:b/>
                <w:sz w:val="20"/>
                <w:szCs w:val="20"/>
              </w:rPr>
              <w:t>4</w:t>
            </w:r>
          </w:p>
        </w:tc>
        <w:tc>
          <w:tcPr>
            <w:tcW w:w="6238" w:type="dxa"/>
            <w:vAlign w:val="center"/>
          </w:tcPr>
          <w:p w14:paraId="0959D8E6" w14:textId="77777777" w:rsidR="007A3E3C" w:rsidRPr="00AB7576" w:rsidRDefault="007A3E3C" w:rsidP="00CE6FCD">
            <w:pPr>
              <w:rPr>
                <w:b/>
                <w:sz w:val="20"/>
                <w:szCs w:val="20"/>
              </w:rPr>
            </w:pPr>
            <w:r w:rsidRPr="00AB7576">
              <w:rPr>
                <w:rFonts w:eastAsia="Droid Sans Fallback"/>
                <w:kern w:val="1"/>
                <w:sz w:val="20"/>
                <w:szCs w:val="20"/>
                <w:lang w:eastAsia="zh-CN" w:bidi="hi-IN"/>
              </w:rPr>
              <w:t>КОМУНАЛЬНИЙ ЗАКЛАД «Калантаївський ліцей Роздільнянської міської ради Одеської області»</w:t>
            </w:r>
          </w:p>
        </w:tc>
        <w:tc>
          <w:tcPr>
            <w:tcW w:w="3544" w:type="dxa"/>
            <w:vAlign w:val="center"/>
          </w:tcPr>
          <w:p w14:paraId="56E2A654" w14:textId="77777777" w:rsidR="007A3E3C" w:rsidRPr="00B15032" w:rsidRDefault="007A3E3C" w:rsidP="00CE6FCD">
            <w:pPr>
              <w:rPr>
                <w:b/>
                <w:sz w:val="20"/>
                <w:szCs w:val="20"/>
              </w:rPr>
            </w:pPr>
            <w:r w:rsidRPr="00B15032">
              <w:rPr>
                <w:sz w:val="20"/>
                <w:szCs w:val="20"/>
              </w:rPr>
              <w:t>67460, Одеська обл., Роздільнянський р-н.,  с. Калантаївка, вул. Шкільна, 1</w:t>
            </w:r>
          </w:p>
        </w:tc>
      </w:tr>
      <w:tr w:rsidR="007A3E3C" w:rsidRPr="00B15032" w14:paraId="05EA434C" w14:textId="77777777" w:rsidTr="00CE6FCD">
        <w:trPr>
          <w:trHeight w:val="652"/>
        </w:trPr>
        <w:tc>
          <w:tcPr>
            <w:tcW w:w="850" w:type="dxa"/>
            <w:vAlign w:val="center"/>
          </w:tcPr>
          <w:p w14:paraId="1F35A959" w14:textId="77777777" w:rsidR="007A3E3C" w:rsidRPr="00B15032" w:rsidRDefault="007A3E3C" w:rsidP="00CE6FCD">
            <w:pPr>
              <w:jc w:val="center"/>
              <w:rPr>
                <w:b/>
                <w:sz w:val="20"/>
                <w:szCs w:val="20"/>
              </w:rPr>
            </w:pPr>
            <w:r>
              <w:rPr>
                <w:b/>
                <w:sz w:val="20"/>
                <w:szCs w:val="20"/>
              </w:rPr>
              <w:t>5</w:t>
            </w:r>
          </w:p>
        </w:tc>
        <w:tc>
          <w:tcPr>
            <w:tcW w:w="6238" w:type="dxa"/>
            <w:vAlign w:val="center"/>
          </w:tcPr>
          <w:p w14:paraId="68AE73AD" w14:textId="77777777" w:rsidR="007A3E3C" w:rsidRPr="00AB7576" w:rsidRDefault="007A3E3C" w:rsidP="00CE6FCD">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0798A478" w14:textId="77777777" w:rsidR="007A3E3C" w:rsidRPr="00B15032" w:rsidRDefault="007A3E3C" w:rsidP="00CE6FCD">
            <w:pPr>
              <w:rPr>
                <w:b/>
                <w:sz w:val="20"/>
                <w:szCs w:val="20"/>
              </w:rPr>
            </w:pPr>
            <w:r w:rsidRPr="00B15032">
              <w:rPr>
                <w:sz w:val="20"/>
                <w:szCs w:val="20"/>
              </w:rPr>
              <w:t>67441, Одеська обл., Роздільнянський р-н.,  с.Новоукраїнка, вул. Куртівська, 58</w:t>
            </w:r>
          </w:p>
        </w:tc>
      </w:tr>
      <w:tr w:rsidR="007A3E3C" w:rsidRPr="00B15032" w14:paraId="64B3D480" w14:textId="77777777" w:rsidTr="00CE6FCD">
        <w:trPr>
          <w:trHeight w:val="652"/>
        </w:trPr>
        <w:tc>
          <w:tcPr>
            <w:tcW w:w="850" w:type="dxa"/>
            <w:vAlign w:val="center"/>
          </w:tcPr>
          <w:p w14:paraId="07247AD4" w14:textId="77777777" w:rsidR="007A3E3C" w:rsidRPr="00B15032" w:rsidRDefault="007A3E3C" w:rsidP="00CE6FCD">
            <w:pPr>
              <w:jc w:val="center"/>
              <w:rPr>
                <w:b/>
                <w:sz w:val="20"/>
                <w:szCs w:val="20"/>
              </w:rPr>
            </w:pPr>
            <w:r>
              <w:rPr>
                <w:b/>
                <w:sz w:val="20"/>
                <w:szCs w:val="20"/>
              </w:rPr>
              <w:t>6</w:t>
            </w:r>
          </w:p>
        </w:tc>
        <w:tc>
          <w:tcPr>
            <w:tcW w:w="6238" w:type="dxa"/>
            <w:vAlign w:val="center"/>
          </w:tcPr>
          <w:p w14:paraId="1D88BDAE" w14:textId="77777777" w:rsidR="007A3E3C" w:rsidRPr="00AB7576" w:rsidRDefault="007A3E3C" w:rsidP="00CE6FCD">
            <w:pPr>
              <w:rPr>
                <w:b/>
                <w:sz w:val="20"/>
                <w:szCs w:val="20"/>
              </w:rPr>
            </w:pPr>
            <w:r w:rsidRPr="00AB7576">
              <w:rPr>
                <w:rFonts w:eastAsia="Droid Sans Fallback"/>
                <w:kern w:val="1"/>
                <w:sz w:val="20"/>
                <w:szCs w:val="20"/>
                <w:lang w:eastAsia="zh-CN" w:bidi="hi-IN"/>
              </w:rPr>
              <w:t>КОМУНАЛЬНИЙ ЗАКЛАД «Понятівський ліцей Роздільнянськорї міської ради Одеської області»</w:t>
            </w:r>
          </w:p>
        </w:tc>
        <w:tc>
          <w:tcPr>
            <w:tcW w:w="3544" w:type="dxa"/>
            <w:vAlign w:val="center"/>
          </w:tcPr>
          <w:p w14:paraId="21E18B90" w14:textId="77777777" w:rsidR="007A3E3C" w:rsidRPr="00B15032" w:rsidRDefault="007A3E3C" w:rsidP="00CE6FCD">
            <w:pPr>
              <w:rPr>
                <w:b/>
                <w:sz w:val="20"/>
                <w:szCs w:val="20"/>
              </w:rPr>
            </w:pPr>
            <w:r w:rsidRPr="00B15032">
              <w:rPr>
                <w:sz w:val="20"/>
                <w:szCs w:val="20"/>
              </w:rPr>
              <w:t>67422, Одеська обл., Роздільнянський р-н., с. Понятівка, вул. Пушкінська, 44</w:t>
            </w:r>
          </w:p>
        </w:tc>
      </w:tr>
      <w:tr w:rsidR="007A3E3C" w:rsidRPr="00B15032" w14:paraId="174ED424" w14:textId="77777777" w:rsidTr="00CE6FCD">
        <w:trPr>
          <w:trHeight w:val="652"/>
        </w:trPr>
        <w:tc>
          <w:tcPr>
            <w:tcW w:w="850" w:type="dxa"/>
            <w:vAlign w:val="center"/>
          </w:tcPr>
          <w:p w14:paraId="61EC0D63" w14:textId="77777777" w:rsidR="007A3E3C" w:rsidRPr="00B15032" w:rsidRDefault="007A3E3C" w:rsidP="00CE6FCD">
            <w:pPr>
              <w:jc w:val="center"/>
              <w:rPr>
                <w:b/>
                <w:sz w:val="20"/>
                <w:szCs w:val="20"/>
              </w:rPr>
            </w:pPr>
            <w:r>
              <w:rPr>
                <w:b/>
                <w:sz w:val="20"/>
                <w:szCs w:val="20"/>
              </w:rPr>
              <w:t>7</w:t>
            </w:r>
          </w:p>
        </w:tc>
        <w:tc>
          <w:tcPr>
            <w:tcW w:w="6238" w:type="dxa"/>
            <w:vAlign w:val="center"/>
          </w:tcPr>
          <w:p w14:paraId="37CA7578" w14:textId="77777777" w:rsidR="007A3E3C" w:rsidRPr="00AB7576" w:rsidRDefault="007A3E3C" w:rsidP="00CE6FCD">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6D0942A6" w14:textId="77777777" w:rsidR="007A3E3C" w:rsidRPr="00B15032" w:rsidRDefault="007A3E3C" w:rsidP="00CE6FCD">
            <w:pPr>
              <w:rPr>
                <w:b/>
                <w:sz w:val="20"/>
                <w:szCs w:val="20"/>
              </w:rPr>
            </w:pPr>
            <w:r w:rsidRPr="00B15032">
              <w:rPr>
                <w:sz w:val="20"/>
                <w:szCs w:val="20"/>
              </w:rPr>
              <w:t>67420, Одеська обл., Роздільнянський р-н., с. Слобідка, вул. Центральна, 1</w:t>
            </w:r>
          </w:p>
        </w:tc>
      </w:tr>
      <w:tr w:rsidR="007A3E3C" w:rsidRPr="00B15032" w14:paraId="637D2F0B" w14:textId="77777777" w:rsidTr="00CE6FCD">
        <w:trPr>
          <w:trHeight w:val="652"/>
        </w:trPr>
        <w:tc>
          <w:tcPr>
            <w:tcW w:w="850" w:type="dxa"/>
            <w:vAlign w:val="center"/>
          </w:tcPr>
          <w:p w14:paraId="462D2A0A" w14:textId="77777777" w:rsidR="007A3E3C" w:rsidRPr="00B15032" w:rsidRDefault="007A3E3C" w:rsidP="00CE6FCD">
            <w:pPr>
              <w:jc w:val="center"/>
              <w:rPr>
                <w:b/>
                <w:sz w:val="20"/>
                <w:szCs w:val="20"/>
              </w:rPr>
            </w:pPr>
            <w:r>
              <w:rPr>
                <w:b/>
                <w:sz w:val="20"/>
                <w:szCs w:val="20"/>
              </w:rPr>
              <w:t>8</w:t>
            </w:r>
          </w:p>
        </w:tc>
        <w:tc>
          <w:tcPr>
            <w:tcW w:w="6238" w:type="dxa"/>
            <w:vAlign w:val="center"/>
          </w:tcPr>
          <w:p w14:paraId="4DB2ADFB" w14:textId="77777777" w:rsidR="007A3E3C" w:rsidRPr="00AB7576" w:rsidRDefault="007A3E3C" w:rsidP="00CE6FCD">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5AC942AF" w14:textId="77777777" w:rsidR="007A3E3C" w:rsidRPr="00B15032" w:rsidRDefault="007A3E3C" w:rsidP="00CE6FCD">
            <w:pPr>
              <w:rPr>
                <w:sz w:val="20"/>
                <w:szCs w:val="20"/>
              </w:rPr>
            </w:pPr>
            <w:r w:rsidRPr="00B15032">
              <w:rPr>
                <w:sz w:val="20"/>
                <w:szCs w:val="20"/>
              </w:rPr>
              <w:t xml:space="preserve">67400, Одеська обл., м. Роздільна, </w:t>
            </w:r>
          </w:p>
          <w:p w14:paraId="76101EDE" w14:textId="77777777" w:rsidR="007A3E3C" w:rsidRPr="00B15032" w:rsidRDefault="007A3E3C" w:rsidP="00CE6FCD">
            <w:pPr>
              <w:rPr>
                <w:sz w:val="20"/>
                <w:szCs w:val="20"/>
              </w:rPr>
            </w:pPr>
            <w:r w:rsidRPr="00B15032">
              <w:rPr>
                <w:sz w:val="20"/>
                <w:szCs w:val="20"/>
              </w:rPr>
              <w:t>вул. Шевченка, 56</w:t>
            </w:r>
          </w:p>
        </w:tc>
      </w:tr>
      <w:tr w:rsidR="007A3E3C" w:rsidRPr="00B15032" w14:paraId="3AE032F5" w14:textId="77777777" w:rsidTr="00CE6FCD">
        <w:trPr>
          <w:trHeight w:val="652"/>
        </w:trPr>
        <w:tc>
          <w:tcPr>
            <w:tcW w:w="850" w:type="dxa"/>
            <w:vAlign w:val="center"/>
          </w:tcPr>
          <w:p w14:paraId="5482B7B3" w14:textId="77777777" w:rsidR="007A3E3C" w:rsidRPr="00B15032" w:rsidRDefault="007A3E3C" w:rsidP="00CE6FCD">
            <w:pPr>
              <w:jc w:val="center"/>
              <w:rPr>
                <w:b/>
                <w:sz w:val="20"/>
                <w:szCs w:val="20"/>
              </w:rPr>
            </w:pPr>
            <w:r>
              <w:rPr>
                <w:b/>
                <w:sz w:val="20"/>
                <w:szCs w:val="20"/>
              </w:rPr>
              <w:t>9</w:t>
            </w:r>
          </w:p>
        </w:tc>
        <w:tc>
          <w:tcPr>
            <w:tcW w:w="6238" w:type="dxa"/>
            <w:vAlign w:val="center"/>
          </w:tcPr>
          <w:p w14:paraId="35CE2DC9" w14:textId="77777777" w:rsidR="007A3E3C" w:rsidRPr="00AB7576" w:rsidRDefault="007A3E3C" w:rsidP="00CE6FCD">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41BF571B" w14:textId="77777777" w:rsidR="007A3E3C" w:rsidRPr="00B15032" w:rsidRDefault="007A3E3C" w:rsidP="00CE6FCD">
            <w:pPr>
              <w:rPr>
                <w:sz w:val="20"/>
                <w:szCs w:val="20"/>
              </w:rPr>
            </w:pPr>
            <w:r w:rsidRPr="00B15032">
              <w:rPr>
                <w:sz w:val="20"/>
                <w:szCs w:val="20"/>
              </w:rPr>
              <w:t xml:space="preserve">67400, Одеська обл., м. Роздільна, </w:t>
            </w:r>
          </w:p>
          <w:p w14:paraId="647D6D8A" w14:textId="77777777" w:rsidR="007A3E3C" w:rsidRPr="00B15032" w:rsidRDefault="007A3E3C" w:rsidP="00CE6FCD">
            <w:pPr>
              <w:rPr>
                <w:sz w:val="20"/>
                <w:szCs w:val="20"/>
              </w:rPr>
            </w:pPr>
            <w:r w:rsidRPr="00B15032">
              <w:rPr>
                <w:sz w:val="20"/>
                <w:szCs w:val="20"/>
              </w:rPr>
              <w:t>вул. Щаслива, 54</w:t>
            </w:r>
          </w:p>
        </w:tc>
      </w:tr>
      <w:tr w:rsidR="007A3E3C" w:rsidRPr="00B15032" w14:paraId="08FD518C" w14:textId="77777777" w:rsidTr="00CE6FCD">
        <w:trPr>
          <w:trHeight w:val="652"/>
        </w:trPr>
        <w:tc>
          <w:tcPr>
            <w:tcW w:w="850" w:type="dxa"/>
            <w:vAlign w:val="center"/>
          </w:tcPr>
          <w:p w14:paraId="460FA317" w14:textId="77777777" w:rsidR="007A3E3C" w:rsidRPr="00AB7576" w:rsidRDefault="007A3E3C" w:rsidP="00CE6FCD">
            <w:pPr>
              <w:jc w:val="center"/>
              <w:rPr>
                <w:b/>
                <w:sz w:val="20"/>
                <w:szCs w:val="20"/>
              </w:rPr>
            </w:pPr>
            <w:r w:rsidRPr="00AB7576">
              <w:rPr>
                <w:b/>
                <w:sz w:val="20"/>
                <w:szCs w:val="20"/>
              </w:rPr>
              <w:t>1</w:t>
            </w:r>
            <w:r>
              <w:rPr>
                <w:b/>
                <w:sz w:val="20"/>
                <w:szCs w:val="20"/>
              </w:rPr>
              <w:t>0</w:t>
            </w:r>
          </w:p>
        </w:tc>
        <w:tc>
          <w:tcPr>
            <w:tcW w:w="6238" w:type="dxa"/>
          </w:tcPr>
          <w:p w14:paraId="60F08B23" w14:textId="77777777" w:rsidR="007A3E3C" w:rsidRPr="00AB7576" w:rsidRDefault="007A3E3C" w:rsidP="00CE6FCD">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07169922" w14:textId="77777777" w:rsidR="007A3E3C" w:rsidRPr="00AB7576" w:rsidRDefault="007A3E3C" w:rsidP="00CE6FCD">
            <w:pPr>
              <w:rPr>
                <w:sz w:val="20"/>
                <w:szCs w:val="20"/>
              </w:rPr>
            </w:pPr>
            <w:r w:rsidRPr="00AB7576">
              <w:rPr>
                <w:sz w:val="20"/>
                <w:szCs w:val="20"/>
              </w:rPr>
              <w:t>67400, Одеська обл., м.Роздільна, провул. Спортивний, 4</w:t>
            </w:r>
          </w:p>
        </w:tc>
      </w:tr>
      <w:tr w:rsidR="007A3E3C" w:rsidRPr="00B15032" w14:paraId="057CE873" w14:textId="77777777" w:rsidTr="00CE6FCD">
        <w:trPr>
          <w:trHeight w:val="652"/>
        </w:trPr>
        <w:tc>
          <w:tcPr>
            <w:tcW w:w="850" w:type="dxa"/>
            <w:vAlign w:val="center"/>
          </w:tcPr>
          <w:p w14:paraId="792E1111" w14:textId="77777777" w:rsidR="007A3E3C" w:rsidRPr="00AB7576" w:rsidRDefault="007A3E3C" w:rsidP="00CE6FCD">
            <w:pPr>
              <w:jc w:val="center"/>
              <w:rPr>
                <w:b/>
                <w:sz w:val="20"/>
                <w:szCs w:val="20"/>
              </w:rPr>
            </w:pPr>
            <w:r w:rsidRPr="00AB7576">
              <w:rPr>
                <w:b/>
                <w:sz w:val="20"/>
                <w:szCs w:val="20"/>
              </w:rPr>
              <w:lastRenderedPageBreak/>
              <w:t>1</w:t>
            </w:r>
            <w:r>
              <w:rPr>
                <w:b/>
                <w:sz w:val="20"/>
                <w:szCs w:val="20"/>
              </w:rPr>
              <w:t>1</w:t>
            </w:r>
          </w:p>
        </w:tc>
        <w:tc>
          <w:tcPr>
            <w:tcW w:w="6238" w:type="dxa"/>
          </w:tcPr>
          <w:p w14:paraId="7751B5A1" w14:textId="77777777" w:rsidR="007A3E3C" w:rsidRPr="00AB7576" w:rsidRDefault="007A3E3C" w:rsidP="00CE6FCD">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14B1D674" w14:textId="77777777" w:rsidR="007A3E3C" w:rsidRPr="00AB7576" w:rsidRDefault="007A3E3C" w:rsidP="00CE6FCD">
            <w:pPr>
              <w:rPr>
                <w:sz w:val="20"/>
                <w:szCs w:val="20"/>
              </w:rPr>
            </w:pPr>
            <w:r w:rsidRPr="00AB7576">
              <w:rPr>
                <w:sz w:val="20"/>
                <w:szCs w:val="20"/>
              </w:rPr>
              <w:t>67400, Одеська обл., м.Роздільна, провул. Шкільний, 22а</w:t>
            </w:r>
          </w:p>
        </w:tc>
      </w:tr>
    </w:tbl>
    <w:p w14:paraId="23EE421F" w14:textId="77777777" w:rsidR="007A3E3C" w:rsidRDefault="007A3E3C" w:rsidP="007A3E3C">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066B5789" w14:textId="77777777" w:rsidR="007A3E3C" w:rsidRDefault="007A3E3C" w:rsidP="007A3E3C">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7A3E3C" w:rsidRPr="00B15032" w14:paraId="434A9838" w14:textId="77777777" w:rsidTr="00CE6FCD">
        <w:tc>
          <w:tcPr>
            <w:tcW w:w="3289" w:type="dxa"/>
          </w:tcPr>
          <w:p w14:paraId="5F09E60E" w14:textId="77777777" w:rsidR="007A3E3C" w:rsidRPr="00B15032" w:rsidRDefault="007A3E3C" w:rsidP="00CE6FCD">
            <w:pPr>
              <w:tabs>
                <w:tab w:val="num" w:pos="34"/>
              </w:tabs>
              <w:jc w:val="center"/>
              <w:rPr>
                <w:b/>
                <w:sz w:val="20"/>
                <w:szCs w:val="20"/>
              </w:rPr>
            </w:pPr>
            <w:r w:rsidRPr="00B15032">
              <w:rPr>
                <w:b/>
                <w:sz w:val="20"/>
                <w:szCs w:val="20"/>
              </w:rPr>
              <w:t>Найменування товару</w:t>
            </w:r>
          </w:p>
        </w:tc>
        <w:tc>
          <w:tcPr>
            <w:tcW w:w="1276" w:type="dxa"/>
          </w:tcPr>
          <w:p w14:paraId="19CB8546" w14:textId="77777777" w:rsidR="007A3E3C" w:rsidRPr="00B15032" w:rsidRDefault="007A3E3C" w:rsidP="00CE6FCD">
            <w:pPr>
              <w:tabs>
                <w:tab w:val="num" w:pos="34"/>
              </w:tabs>
              <w:jc w:val="center"/>
              <w:rPr>
                <w:b/>
                <w:sz w:val="20"/>
                <w:szCs w:val="20"/>
              </w:rPr>
            </w:pPr>
            <w:r w:rsidRPr="00B15032">
              <w:rPr>
                <w:b/>
                <w:sz w:val="20"/>
                <w:szCs w:val="20"/>
              </w:rPr>
              <w:t>Якісні</w:t>
            </w:r>
          </w:p>
          <w:p w14:paraId="2FC48E45" w14:textId="77777777" w:rsidR="007A3E3C" w:rsidRPr="00B15032" w:rsidRDefault="007A3E3C" w:rsidP="00CE6FCD">
            <w:pPr>
              <w:tabs>
                <w:tab w:val="num" w:pos="34"/>
              </w:tabs>
              <w:jc w:val="center"/>
              <w:rPr>
                <w:b/>
                <w:sz w:val="20"/>
                <w:szCs w:val="20"/>
              </w:rPr>
            </w:pPr>
            <w:r w:rsidRPr="00B15032">
              <w:rPr>
                <w:b/>
                <w:sz w:val="20"/>
                <w:szCs w:val="20"/>
              </w:rPr>
              <w:t>вимоги</w:t>
            </w:r>
          </w:p>
        </w:tc>
        <w:tc>
          <w:tcPr>
            <w:tcW w:w="1276" w:type="dxa"/>
          </w:tcPr>
          <w:p w14:paraId="2292BD9E" w14:textId="77777777" w:rsidR="007A3E3C" w:rsidRPr="00B15032" w:rsidRDefault="007A3E3C" w:rsidP="00CE6FCD">
            <w:pPr>
              <w:tabs>
                <w:tab w:val="num" w:pos="34"/>
              </w:tabs>
              <w:jc w:val="center"/>
              <w:rPr>
                <w:b/>
                <w:sz w:val="20"/>
                <w:szCs w:val="20"/>
              </w:rPr>
            </w:pPr>
            <w:r w:rsidRPr="00B15032">
              <w:rPr>
                <w:b/>
                <w:sz w:val="20"/>
                <w:szCs w:val="20"/>
              </w:rPr>
              <w:t>Одиниця виміру</w:t>
            </w:r>
          </w:p>
        </w:tc>
        <w:tc>
          <w:tcPr>
            <w:tcW w:w="1417" w:type="dxa"/>
          </w:tcPr>
          <w:p w14:paraId="728113FD" w14:textId="77777777" w:rsidR="007A3E3C" w:rsidRPr="00B15032" w:rsidRDefault="007A3E3C" w:rsidP="00CE6FCD">
            <w:pPr>
              <w:tabs>
                <w:tab w:val="num" w:pos="34"/>
              </w:tabs>
              <w:jc w:val="center"/>
              <w:rPr>
                <w:b/>
                <w:sz w:val="20"/>
                <w:szCs w:val="20"/>
              </w:rPr>
            </w:pPr>
            <w:r w:rsidRPr="00B15032">
              <w:rPr>
                <w:b/>
                <w:sz w:val="20"/>
                <w:szCs w:val="20"/>
              </w:rPr>
              <w:t xml:space="preserve">Кількість          </w:t>
            </w:r>
          </w:p>
        </w:tc>
        <w:tc>
          <w:tcPr>
            <w:tcW w:w="2268" w:type="dxa"/>
          </w:tcPr>
          <w:p w14:paraId="5CE8B696" w14:textId="77777777" w:rsidR="007A3E3C" w:rsidRPr="00B15032" w:rsidRDefault="007A3E3C" w:rsidP="00CE6FCD">
            <w:pPr>
              <w:jc w:val="center"/>
              <w:rPr>
                <w:b/>
                <w:sz w:val="20"/>
                <w:szCs w:val="20"/>
              </w:rPr>
            </w:pPr>
            <w:r w:rsidRPr="00B15032">
              <w:rPr>
                <w:b/>
                <w:sz w:val="20"/>
                <w:szCs w:val="20"/>
              </w:rPr>
              <w:t xml:space="preserve">Строки </w:t>
            </w:r>
          </w:p>
          <w:p w14:paraId="66B18510" w14:textId="77777777" w:rsidR="007A3E3C" w:rsidRPr="00B15032" w:rsidRDefault="007A3E3C" w:rsidP="00CE6FCD">
            <w:pPr>
              <w:jc w:val="center"/>
              <w:rPr>
                <w:b/>
                <w:sz w:val="20"/>
                <w:szCs w:val="20"/>
              </w:rPr>
            </w:pPr>
            <w:r w:rsidRPr="00B15032">
              <w:rPr>
                <w:b/>
                <w:sz w:val="20"/>
                <w:szCs w:val="20"/>
              </w:rPr>
              <w:t>поставки</w:t>
            </w:r>
          </w:p>
        </w:tc>
      </w:tr>
      <w:tr w:rsidR="007A3E3C" w:rsidRPr="00B15032" w14:paraId="1160CD57" w14:textId="77777777" w:rsidTr="00CE6FCD">
        <w:trPr>
          <w:trHeight w:val="489"/>
        </w:trPr>
        <w:tc>
          <w:tcPr>
            <w:tcW w:w="3289" w:type="dxa"/>
          </w:tcPr>
          <w:p w14:paraId="1FBE7B48" w14:textId="77777777" w:rsidR="007A3E3C" w:rsidRPr="00B15032" w:rsidRDefault="007A3E3C" w:rsidP="00CE6FCD">
            <w:pPr>
              <w:jc w:val="center"/>
              <w:rPr>
                <w:color w:val="333333"/>
                <w:sz w:val="20"/>
                <w:szCs w:val="20"/>
                <w:shd w:val="clear" w:color="auto" w:fill="FEFEFE"/>
              </w:rPr>
            </w:pPr>
            <w:r w:rsidRPr="00607708">
              <w:rPr>
                <w:sz w:val="20"/>
                <w:szCs w:val="20"/>
              </w:rPr>
              <w:t>борошно пшеничне</w:t>
            </w:r>
          </w:p>
        </w:tc>
        <w:tc>
          <w:tcPr>
            <w:tcW w:w="1276" w:type="dxa"/>
          </w:tcPr>
          <w:p w14:paraId="698C31F3" w14:textId="77777777" w:rsidR="007A3E3C" w:rsidRPr="00B15032" w:rsidRDefault="007A3E3C" w:rsidP="00CE6FC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42652B57" w14:textId="77777777" w:rsidR="007A3E3C" w:rsidRPr="00B15032" w:rsidRDefault="007A3E3C" w:rsidP="00CE6FCD">
            <w:pPr>
              <w:jc w:val="center"/>
              <w:rPr>
                <w:sz w:val="20"/>
                <w:szCs w:val="20"/>
              </w:rPr>
            </w:pPr>
            <w:r w:rsidRPr="00B15032">
              <w:rPr>
                <w:sz w:val="20"/>
                <w:szCs w:val="20"/>
              </w:rPr>
              <w:t>кг</w:t>
            </w:r>
          </w:p>
        </w:tc>
        <w:tc>
          <w:tcPr>
            <w:tcW w:w="1417" w:type="dxa"/>
          </w:tcPr>
          <w:p w14:paraId="3E3C904F" w14:textId="77777777" w:rsidR="007A3E3C" w:rsidRPr="00B15032" w:rsidRDefault="007A3E3C" w:rsidP="00CE6FCD">
            <w:pPr>
              <w:jc w:val="center"/>
              <w:rPr>
                <w:sz w:val="20"/>
                <w:szCs w:val="20"/>
              </w:rPr>
            </w:pPr>
            <w:r>
              <w:rPr>
                <w:sz w:val="20"/>
                <w:szCs w:val="20"/>
              </w:rPr>
              <w:t>462</w:t>
            </w:r>
          </w:p>
        </w:tc>
        <w:tc>
          <w:tcPr>
            <w:tcW w:w="2268" w:type="dxa"/>
          </w:tcPr>
          <w:p w14:paraId="3478E929" w14:textId="77777777" w:rsidR="007A3E3C" w:rsidRPr="00B15032" w:rsidRDefault="007A3E3C" w:rsidP="00CE6FCD">
            <w:pPr>
              <w:tabs>
                <w:tab w:val="left" w:pos="162"/>
              </w:tabs>
              <w:ind w:left="44"/>
              <w:jc w:val="center"/>
              <w:rPr>
                <w:sz w:val="20"/>
                <w:szCs w:val="20"/>
              </w:rPr>
            </w:pPr>
            <w:r w:rsidRPr="00B15032">
              <w:rPr>
                <w:sz w:val="20"/>
                <w:szCs w:val="20"/>
              </w:rPr>
              <w:t xml:space="preserve">до «31» грудня </w:t>
            </w:r>
          </w:p>
          <w:p w14:paraId="1D95A828" w14:textId="77777777" w:rsidR="007A3E3C" w:rsidRPr="00B15032" w:rsidRDefault="007A3E3C" w:rsidP="00CE6FC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7A3E3C" w:rsidRPr="00B15032" w14:paraId="0758BDA0" w14:textId="77777777" w:rsidTr="00CE6FCD">
        <w:trPr>
          <w:trHeight w:val="489"/>
        </w:trPr>
        <w:tc>
          <w:tcPr>
            <w:tcW w:w="3289" w:type="dxa"/>
          </w:tcPr>
          <w:p w14:paraId="49B24F08" w14:textId="77777777" w:rsidR="007A3E3C" w:rsidRDefault="007A3E3C" w:rsidP="00CE6FCD">
            <w:pPr>
              <w:jc w:val="center"/>
              <w:rPr>
                <w:rFonts w:eastAsia="Times New Roman" w:cs="Times New Roman"/>
                <w:b/>
                <w:i/>
                <w:sz w:val="20"/>
                <w:szCs w:val="20"/>
                <w:highlight w:val="white"/>
              </w:rPr>
            </w:pPr>
            <w:r w:rsidRPr="00607708">
              <w:rPr>
                <w:sz w:val="20"/>
                <w:szCs w:val="20"/>
              </w:rPr>
              <w:t>крупа гречана</w:t>
            </w:r>
          </w:p>
        </w:tc>
        <w:tc>
          <w:tcPr>
            <w:tcW w:w="1276" w:type="dxa"/>
          </w:tcPr>
          <w:p w14:paraId="588ECA3C" w14:textId="77777777" w:rsidR="007A3E3C" w:rsidRPr="00B15032" w:rsidRDefault="007A3E3C" w:rsidP="00CE6FC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78F141F3" w14:textId="77777777" w:rsidR="007A3E3C" w:rsidRPr="00B15032" w:rsidRDefault="007A3E3C" w:rsidP="00CE6FCD">
            <w:pPr>
              <w:jc w:val="center"/>
              <w:rPr>
                <w:sz w:val="20"/>
                <w:szCs w:val="20"/>
              </w:rPr>
            </w:pPr>
            <w:r w:rsidRPr="00B15032">
              <w:rPr>
                <w:sz w:val="20"/>
                <w:szCs w:val="20"/>
              </w:rPr>
              <w:t>кг</w:t>
            </w:r>
          </w:p>
        </w:tc>
        <w:tc>
          <w:tcPr>
            <w:tcW w:w="1417" w:type="dxa"/>
          </w:tcPr>
          <w:p w14:paraId="5A7C0588" w14:textId="77777777" w:rsidR="007A3E3C" w:rsidRDefault="007A3E3C" w:rsidP="00CE6FCD">
            <w:pPr>
              <w:jc w:val="center"/>
              <w:rPr>
                <w:sz w:val="20"/>
                <w:szCs w:val="20"/>
              </w:rPr>
            </w:pPr>
            <w:r>
              <w:rPr>
                <w:sz w:val="20"/>
                <w:szCs w:val="20"/>
              </w:rPr>
              <w:t>2970</w:t>
            </w:r>
          </w:p>
        </w:tc>
        <w:tc>
          <w:tcPr>
            <w:tcW w:w="2268" w:type="dxa"/>
          </w:tcPr>
          <w:p w14:paraId="62ED0ECB" w14:textId="77777777" w:rsidR="007A3E3C" w:rsidRPr="00B15032" w:rsidRDefault="007A3E3C" w:rsidP="00CE6FCD">
            <w:pPr>
              <w:tabs>
                <w:tab w:val="left" w:pos="162"/>
              </w:tabs>
              <w:ind w:left="44"/>
              <w:jc w:val="center"/>
              <w:rPr>
                <w:sz w:val="20"/>
                <w:szCs w:val="20"/>
              </w:rPr>
            </w:pPr>
            <w:r w:rsidRPr="00B15032">
              <w:rPr>
                <w:sz w:val="20"/>
                <w:szCs w:val="20"/>
              </w:rPr>
              <w:t xml:space="preserve">до «31» грудня </w:t>
            </w:r>
          </w:p>
          <w:p w14:paraId="3B5D5A29" w14:textId="77777777" w:rsidR="007A3E3C" w:rsidRPr="00B15032" w:rsidRDefault="007A3E3C" w:rsidP="00CE6FC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7A3E3C" w:rsidRPr="00B15032" w14:paraId="41E9B6F8" w14:textId="77777777" w:rsidTr="00CE6FCD">
        <w:trPr>
          <w:trHeight w:val="489"/>
        </w:trPr>
        <w:tc>
          <w:tcPr>
            <w:tcW w:w="3289" w:type="dxa"/>
          </w:tcPr>
          <w:p w14:paraId="726F57B9" w14:textId="77777777" w:rsidR="007A3E3C" w:rsidRDefault="007A3E3C" w:rsidP="00CE6FCD">
            <w:pPr>
              <w:jc w:val="center"/>
              <w:rPr>
                <w:rFonts w:eastAsia="Times New Roman" w:cs="Times New Roman"/>
                <w:b/>
                <w:i/>
                <w:sz w:val="20"/>
                <w:szCs w:val="20"/>
                <w:highlight w:val="white"/>
              </w:rPr>
            </w:pPr>
            <w:r w:rsidRPr="00607708">
              <w:rPr>
                <w:sz w:val="20"/>
                <w:szCs w:val="20"/>
              </w:rPr>
              <w:t xml:space="preserve">крупа пшенична арнаутка </w:t>
            </w:r>
          </w:p>
        </w:tc>
        <w:tc>
          <w:tcPr>
            <w:tcW w:w="1276" w:type="dxa"/>
          </w:tcPr>
          <w:p w14:paraId="348541AE" w14:textId="77777777" w:rsidR="007A3E3C" w:rsidRPr="00B15032" w:rsidRDefault="007A3E3C" w:rsidP="00CE6FC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77357238" w14:textId="77777777" w:rsidR="007A3E3C" w:rsidRPr="00B15032" w:rsidRDefault="007A3E3C" w:rsidP="00CE6FCD">
            <w:pPr>
              <w:jc w:val="center"/>
              <w:rPr>
                <w:sz w:val="20"/>
                <w:szCs w:val="20"/>
              </w:rPr>
            </w:pPr>
            <w:r w:rsidRPr="00B15032">
              <w:rPr>
                <w:sz w:val="20"/>
                <w:szCs w:val="20"/>
              </w:rPr>
              <w:t>кг</w:t>
            </w:r>
          </w:p>
        </w:tc>
        <w:tc>
          <w:tcPr>
            <w:tcW w:w="1417" w:type="dxa"/>
          </w:tcPr>
          <w:p w14:paraId="586BCF85" w14:textId="77777777" w:rsidR="007A3E3C" w:rsidRDefault="007A3E3C" w:rsidP="00CE6FCD">
            <w:pPr>
              <w:jc w:val="center"/>
              <w:rPr>
                <w:sz w:val="20"/>
                <w:szCs w:val="20"/>
              </w:rPr>
            </w:pPr>
            <w:r>
              <w:rPr>
                <w:sz w:val="20"/>
                <w:szCs w:val="20"/>
              </w:rPr>
              <w:t>487</w:t>
            </w:r>
          </w:p>
        </w:tc>
        <w:tc>
          <w:tcPr>
            <w:tcW w:w="2268" w:type="dxa"/>
          </w:tcPr>
          <w:p w14:paraId="3B0500DA" w14:textId="77777777" w:rsidR="007A3E3C" w:rsidRPr="00B15032" w:rsidRDefault="007A3E3C" w:rsidP="00CE6FCD">
            <w:pPr>
              <w:tabs>
                <w:tab w:val="left" w:pos="162"/>
              </w:tabs>
              <w:ind w:left="44"/>
              <w:jc w:val="center"/>
              <w:rPr>
                <w:sz w:val="20"/>
                <w:szCs w:val="20"/>
              </w:rPr>
            </w:pPr>
            <w:r w:rsidRPr="00B15032">
              <w:rPr>
                <w:sz w:val="20"/>
                <w:szCs w:val="20"/>
              </w:rPr>
              <w:t xml:space="preserve">до «31» грудня </w:t>
            </w:r>
          </w:p>
          <w:p w14:paraId="49FE7560" w14:textId="77777777" w:rsidR="007A3E3C" w:rsidRPr="00B15032" w:rsidRDefault="007A3E3C" w:rsidP="00CE6FC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7A3E3C" w:rsidRPr="00B15032" w14:paraId="42FA68F9" w14:textId="77777777" w:rsidTr="00CE6FCD">
        <w:trPr>
          <w:trHeight w:val="489"/>
        </w:trPr>
        <w:tc>
          <w:tcPr>
            <w:tcW w:w="3289" w:type="dxa"/>
          </w:tcPr>
          <w:p w14:paraId="3E1D32CB" w14:textId="77777777" w:rsidR="007A3E3C" w:rsidRDefault="007A3E3C" w:rsidP="00CE6FCD">
            <w:pPr>
              <w:jc w:val="center"/>
              <w:rPr>
                <w:rFonts w:eastAsia="Times New Roman" w:cs="Times New Roman"/>
                <w:b/>
                <w:i/>
                <w:sz w:val="20"/>
                <w:szCs w:val="20"/>
                <w:highlight w:val="white"/>
              </w:rPr>
            </w:pPr>
            <w:r w:rsidRPr="00607708">
              <w:rPr>
                <w:sz w:val="20"/>
                <w:szCs w:val="20"/>
              </w:rPr>
              <w:t>пшоно</w:t>
            </w:r>
          </w:p>
        </w:tc>
        <w:tc>
          <w:tcPr>
            <w:tcW w:w="1276" w:type="dxa"/>
          </w:tcPr>
          <w:p w14:paraId="01326267" w14:textId="77777777" w:rsidR="007A3E3C" w:rsidRPr="00B15032" w:rsidRDefault="007A3E3C" w:rsidP="00CE6FC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04F5B5EE" w14:textId="77777777" w:rsidR="007A3E3C" w:rsidRPr="00B15032" w:rsidRDefault="007A3E3C" w:rsidP="00CE6FCD">
            <w:pPr>
              <w:jc w:val="center"/>
              <w:rPr>
                <w:sz w:val="20"/>
                <w:szCs w:val="20"/>
              </w:rPr>
            </w:pPr>
            <w:r w:rsidRPr="00B15032">
              <w:rPr>
                <w:sz w:val="20"/>
                <w:szCs w:val="20"/>
              </w:rPr>
              <w:t>кг</w:t>
            </w:r>
          </w:p>
        </w:tc>
        <w:tc>
          <w:tcPr>
            <w:tcW w:w="1417" w:type="dxa"/>
          </w:tcPr>
          <w:p w14:paraId="61511AE4" w14:textId="77777777" w:rsidR="007A3E3C" w:rsidRDefault="007A3E3C" w:rsidP="00CE6FCD">
            <w:pPr>
              <w:jc w:val="center"/>
              <w:rPr>
                <w:sz w:val="20"/>
                <w:szCs w:val="20"/>
              </w:rPr>
            </w:pPr>
            <w:r>
              <w:rPr>
                <w:sz w:val="20"/>
                <w:szCs w:val="20"/>
              </w:rPr>
              <w:t>1220</w:t>
            </w:r>
          </w:p>
        </w:tc>
        <w:tc>
          <w:tcPr>
            <w:tcW w:w="2268" w:type="dxa"/>
          </w:tcPr>
          <w:p w14:paraId="7F818156" w14:textId="77777777" w:rsidR="007A3E3C" w:rsidRPr="00B15032" w:rsidRDefault="007A3E3C" w:rsidP="00CE6FCD">
            <w:pPr>
              <w:tabs>
                <w:tab w:val="left" w:pos="162"/>
              </w:tabs>
              <w:ind w:left="44"/>
              <w:jc w:val="center"/>
              <w:rPr>
                <w:sz w:val="20"/>
                <w:szCs w:val="20"/>
              </w:rPr>
            </w:pPr>
            <w:r w:rsidRPr="00B15032">
              <w:rPr>
                <w:sz w:val="20"/>
                <w:szCs w:val="20"/>
              </w:rPr>
              <w:t xml:space="preserve">до «31» грудня </w:t>
            </w:r>
          </w:p>
          <w:p w14:paraId="264BBF66" w14:textId="77777777" w:rsidR="007A3E3C" w:rsidRPr="00B15032" w:rsidRDefault="007A3E3C" w:rsidP="00CE6FC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7A3E3C" w:rsidRPr="00B15032" w14:paraId="0E8B222C" w14:textId="77777777" w:rsidTr="00CE6FCD">
        <w:trPr>
          <w:trHeight w:val="489"/>
        </w:trPr>
        <w:tc>
          <w:tcPr>
            <w:tcW w:w="3289" w:type="dxa"/>
          </w:tcPr>
          <w:p w14:paraId="1B99E5C9" w14:textId="77777777" w:rsidR="007A3E3C" w:rsidRDefault="007A3E3C" w:rsidP="00CE6FCD">
            <w:pPr>
              <w:jc w:val="center"/>
              <w:rPr>
                <w:rFonts w:eastAsia="Times New Roman" w:cs="Times New Roman"/>
                <w:b/>
                <w:i/>
                <w:sz w:val="20"/>
                <w:szCs w:val="20"/>
                <w:highlight w:val="white"/>
              </w:rPr>
            </w:pPr>
            <w:r w:rsidRPr="00607708">
              <w:rPr>
                <w:sz w:val="20"/>
                <w:szCs w:val="20"/>
              </w:rPr>
              <w:t>крупа вівсяна</w:t>
            </w:r>
            <w:r>
              <w:rPr>
                <w:sz w:val="20"/>
                <w:szCs w:val="20"/>
              </w:rPr>
              <w:t xml:space="preserve"> плющена</w:t>
            </w:r>
          </w:p>
        </w:tc>
        <w:tc>
          <w:tcPr>
            <w:tcW w:w="1276" w:type="dxa"/>
          </w:tcPr>
          <w:p w14:paraId="7A1114E0" w14:textId="77777777" w:rsidR="007A3E3C" w:rsidRPr="00B15032" w:rsidRDefault="007A3E3C" w:rsidP="00CE6FC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7C5AD2CD" w14:textId="77777777" w:rsidR="007A3E3C" w:rsidRPr="00B15032" w:rsidRDefault="007A3E3C" w:rsidP="00CE6FCD">
            <w:pPr>
              <w:jc w:val="center"/>
              <w:rPr>
                <w:sz w:val="20"/>
                <w:szCs w:val="20"/>
              </w:rPr>
            </w:pPr>
            <w:r w:rsidRPr="00B15032">
              <w:rPr>
                <w:sz w:val="20"/>
                <w:szCs w:val="20"/>
              </w:rPr>
              <w:t>кг</w:t>
            </w:r>
          </w:p>
        </w:tc>
        <w:tc>
          <w:tcPr>
            <w:tcW w:w="1417" w:type="dxa"/>
          </w:tcPr>
          <w:p w14:paraId="4356055F" w14:textId="77777777" w:rsidR="007A3E3C" w:rsidRDefault="007A3E3C" w:rsidP="00CE6FCD">
            <w:pPr>
              <w:jc w:val="center"/>
              <w:rPr>
                <w:sz w:val="20"/>
                <w:szCs w:val="20"/>
              </w:rPr>
            </w:pPr>
            <w:r>
              <w:rPr>
                <w:sz w:val="20"/>
                <w:szCs w:val="20"/>
              </w:rPr>
              <w:t>350</w:t>
            </w:r>
          </w:p>
        </w:tc>
        <w:tc>
          <w:tcPr>
            <w:tcW w:w="2268" w:type="dxa"/>
          </w:tcPr>
          <w:p w14:paraId="5618F3F0" w14:textId="77777777" w:rsidR="007A3E3C" w:rsidRPr="00B15032" w:rsidRDefault="007A3E3C" w:rsidP="00CE6FCD">
            <w:pPr>
              <w:tabs>
                <w:tab w:val="left" w:pos="162"/>
              </w:tabs>
              <w:ind w:left="44"/>
              <w:jc w:val="center"/>
              <w:rPr>
                <w:sz w:val="20"/>
                <w:szCs w:val="20"/>
              </w:rPr>
            </w:pPr>
            <w:r w:rsidRPr="00B15032">
              <w:rPr>
                <w:sz w:val="20"/>
                <w:szCs w:val="20"/>
              </w:rPr>
              <w:t xml:space="preserve">до «31» грудня </w:t>
            </w:r>
          </w:p>
          <w:p w14:paraId="165323A5" w14:textId="77777777" w:rsidR="007A3E3C" w:rsidRPr="00B15032" w:rsidRDefault="007A3E3C" w:rsidP="00CE6FC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7A3E3C" w:rsidRPr="00B15032" w14:paraId="768A3553" w14:textId="77777777" w:rsidTr="00CE6FCD">
        <w:trPr>
          <w:trHeight w:val="489"/>
        </w:trPr>
        <w:tc>
          <w:tcPr>
            <w:tcW w:w="3289" w:type="dxa"/>
          </w:tcPr>
          <w:p w14:paraId="0AAAB26D" w14:textId="77777777" w:rsidR="007A3E3C" w:rsidRDefault="007A3E3C" w:rsidP="00CE6FCD">
            <w:pPr>
              <w:jc w:val="center"/>
              <w:rPr>
                <w:rFonts w:eastAsia="Times New Roman" w:cs="Times New Roman"/>
                <w:b/>
                <w:i/>
                <w:sz w:val="20"/>
                <w:szCs w:val="20"/>
                <w:highlight w:val="white"/>
              </w:rPr>
            </w:pPr>
            <w:r w:rsidRPr="00607708">
              <w:rPr>
                <w:sz w:val="20"/>
                <w:szCs w:val="20"/>
              </w:rPr>
              <w:t>крупа ячна</w:t>
            </w:r>
          </w:p>
        </w:tc>
        <w:tc>
          <w:tcPr>
            <w:tcW w:w="1276" w:type="dxa"/>
          </w:tcPr>
          <w:p w14:paraId="518BBB2A" w14:textId="77777777" w:rsidR="007A3E3C" w:rsidRPr="00B15032" w:rsidRDefault="007A3E3C" w:rsidP="00CE6FC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7898239B" w14:textId="77777777" w:rsidR="007A3E3C" w:rsidRPr="00B15032" w:rsidRDefault="007A3E3C" w:rsidP="00CE6FCD">
            <w:pPr>
              <w:jc w:val="center"/>
              <w:rPr>
                <w:sz w:val="20"/>
                <w:szCs w:val="20"/>
              </w:rPr>
            </w:pPr>
            <w:r w:rsidRPr="00B15032">
              <w:rPr>
                <w:sz w:val="20"/>
                <w:szCs w:val="20"/>
              </w:rPr>
              <w:t>кг</w:t>
            </w:r>
          </w:p>
        </w:tc>
        <w:tc>
          <w:tcPr>
            <w:tcW w:w="1417" w:type="dxa"/>
          </w:tcPr>
          <w:p w14:paraId="7F9AD9FB" w14:textId="77777777" w:rsidR="007A3E3C" w:rsidRDefault="007A3E3C" w:rsidP="00CE6FCD">
            <w:pPr>
              <w:jc w:val="center"/>
              <w:rPr>
                <w:sz w:val="20"/>
                <w:szCs w:val="20"/>
              </w:rPr>
            </w:pPr>
            <w:r>
              <w:rPr>
                <w:sz w:val="20"/>
                <w:szCs w:val="20"/>
              </w:rPr>
              <w:t>283</w:t>
            </w:r>
          </w:p>
        </w:tc>
        <w:tc>
          <w:tcPr>
            <w:tcW w:w="2268" w:type="dxa"/>
          </w:tcPr>
          <w:p w14:paraId="72A968F1" w14:textId="77777777" w:rsidR="007A3E3C" w:rsidRPr="00B15032" w:rsidRDefault="007A3E3C" w:rsidP="00CE6FCD">
            <w:pPr>
              <w:tabs>
                <w:tab w:val="left" w:pos="162"/>
              </w:tabs>
              <w:ind w:left="44"/>
              <w:jc w:val="center"/>
              <w:rPr>
                <w:sz w:val="20"/>
                <w:szCs w:val="20"/>
              </w:rPr>
            </w:pPr>
            <w:r w:rsidRPr="00B15032">
              <w:rPr>
                <w:sz w:val="20"/>
                <w:szCs w:val="20"/>
              </w:rPr>
              <w:t xml:space="preserve">до «31» грудня </w:t>
            </w:r>
          </w:p>
          <w:p w14:paraId="682BE201" w14:textId="77777777" w:rsidR="007A3E3C" w:rsidRPr="00B15032" w:rsidRDefault="007A3E3C" w:rsidP="00CE6FC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7A3E3C" w:rsidRPr="00B15032" w14:paraId="4384E5D6" w14:textId="77777777" w:rsidTr="00CE6FCD">
        <w:trPr>
          <w:trHeight w:val="489"/>
        </w:trPr>
        <w:tc>
          <w:tcPr>
            <w:tcW w:w="3289" w:type="dxa"/>
          </w:tcPr>
          <w:p w14:paraId="2F2C9FBF" w14:textId="77777777" w:rsidR="007A3E3C" w:rsidRDefault="007A3E3C" w:rsidP="00CE6FCD">
            <w:pPr>
              <w:jc w:val="center"/>
              <w:rPr>
                <w:rFonts w:eastAsia="Times New Roman" w:cs="Times New Roman"/>
                <w:b/>
                <w:i/>
                <w:sz w:val="20"/>
                <w:szCs w:val="20"/>
                <w:highlight w:val="white"/>
              </w:rPr>
            </w:pPr>
            <w:r w:rsidRPr="00607708">
              <w:rPr>
                <w:sz w:val="20"/>
                <w:szCs w:val="20"/>
              </w:rPr>
              <w:t>крупа перлова</w:t>
            </w:r>
          </w:p>
        </w:tc>
        <w:tc>
          <w:tcPr>
            <w:tcW w:w="1276" w:type="dxa"/>
          </w:tcPr>
          <w:p w14:paraId="5DF9401F" w14:textId="77777777" w:rsidR="007A3E3C" w:rsidRPr="00B15032" w:rsidRDefault="007A3E3C" w:rsidP="00CE6FC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3E1DC805" w14:textId="77777777" w:rsidR="007A3E3C" w:rsidRPr="00B15032" w:rsidRDefault="007A3E3C" w:rsidP="00CE6FCD">
            <w:pPr>
              <w:jc w:val="center"/>
              <w:rPr>
                <w:sz w:val="20"/>
                <w:szCs w:val="20"/>
              </w:rPr>
            </w:pPr>
            <w:r w:rsidRPr="00B15032">
              <w:rPr>
                <w:sz w:val="20"/>
                <w:szCs w:val="20"/>
              </w:rPr>
              <w:t>кг</w:t>
            </w:r>
          </w:p>
        </w:tc>
        <w:tc>
          <w:tcPr>
            <w:tcW w:w="1417" w:type="dxa"/>
          </w:tcPr>
          <w:p w14:paraId="178F2ABB" w14:textId="77777777" w:rsidR="007A3E3C" w:rsidRDefault="007A3E3C" w:rsidP="00CE6FCD">
            <w:pPr>
              <w:jc w:val="center"/>
              <w:rPr>
                <w:sz w:val="20"/>
                <w:szCs w:val="20"/>
              </w:rPr>
            </w:pPr>
            <w:r>
              <w:rPr>
                <w:sz w:val="20"/>
                <w:szCs w:val="20"/>
              </w:rPr>
              <w:t>2156</w:t>
            </w:r>
          </w:p>
        </w:tc>
        <w:tc>
          <w:tcPr>
            <w:tcW w:w="2268" w:type="dxa"/>
          </w:tcPr>
          <w:p w14:paraId="6A670346" w14:textId="77777777" w:rsidR="007A3E3C" w:rsidRPr="00B15032" w:rsidRDefault="007A3E3C" w:rsidP="00CE6FCD">
            <w:pPr>
              <w:tabs>
                <w:tab w:val="left" w:pos="162"/>
              </w:tabs>
              <w:ind w:left="44"/>
              <w:jc w:val="center"/>
              <w:rPr>
                <w:sz w:val="20"/>
                <w:szCs w:val="20"/>
              </w:rPr>
            </w:pPr>
            <w:r w:rsidRPr="00B15032">
              <w:rPr>
                <w:sz w:val="20"/>
                <w:szCs w:val="20"/>
              </w:rPr>
              <w:t xml:space="preserve">до «31» грудня </w:t>
            </w:r>
          </w:p>
          <w:p w14:paraId="0CF58F3E" w14:textId="77777777" w:rsidR="007A3E3C" w:rsidRPr="00B15032" w:rsidRDefault="007A3E3C" w:rsidP="00CE6FC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7A3E3C" w:rsidRPr="00B15032" w14:paraId="3A17585E" w14:textId="77777777" w:rsidTr="00CE6FCD">
        <w:trPr>
          <w:trHeight w:val="489"/>
        </w:trPr>
        <w:tc>
          <w:tcPr>
            <w:tcW w:w="3289" w:type="dxa"/>
          </w:tcPr>
          <w:p w14:paraId="5C7211F1" w14:textId="77777777" w:rsidR="007A3E3C" w:rsidRDefault="007A3E3C" w:rsidP="00CE6FCD">
            <w:pPr>
              <w:jc w:val="center"/>
              <w:rPr>
                <w:rFonts w:eastAsia="Times New Roman" w:cs="Times New Roman"/>
                <w:b/>
                <w:i/>
                <w:sz w:val="20"/>
                <w:szCs w:val="20"/>
                <w:highlight w:val="white"/>
              </w:rPr>
            </w:pPr>
            <w:r w:rsidRPr="00607708">
              <w:rPr>
                <w:sz w:val="20"/>
                <w:szCs w:val="20"/>
              </w:rPr>
              <w:t>крупа кукурудзяна</w:t>
            </w:r>
          </w:p>
        </w:tc>
        <w:tc>
          <w:tcPr>
            <w:tcW w:w="1276" w:type="dxa"/>
          </w:tcPr>
          <w:p w14:paraId="1F27242B" w14:textId="77777777" w:rsidR="007A3E3C" w:rsidRPr="00B15032" w:rsidRDefault="007A3E3C" w:rsidP="00CE6FC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3BA34263" w14:textId="77777777" w:rsidR="007A3E3C" w:rsidRPr="00B15032" w:rsidRDefault="007A3E3C" w:rsidP="00CE6FCD">
            <w:pPr>
              <w:jc w:val="center"/>
              <w:rPr>
                <w:sz w:val="20"/>
                <w:szCs w:val="20"/>
              </w:rPr>
            </w:pPr>
            <w:r w:rsidRPr="00B15032">
              <w:rPr>
                <w:sz w:val="20"/>
                <w:szCs w:val="20"/>
              </w:rPr>
              <w:t>кг</w:t>
            </w:r>
          </w:p>
        </w:tc>
        <w:tc>
          <w:tcPr>
            <w:tcW w:w="1417" w:type="dxa"/>
          </w:tcPr>
          <w:p w14:paraId="0136B5B9" w14:textId="77777777" w:rsidR="007A3E3C" w:rsidRDefault="007A3E3C" w:rsidP="00CE6FCD">
            <w:pPr>
              <w:jc w:val="center"/>
              <w:rPr>
                <w:sz w:val="20"/>
                <w:szCs w:val="20"/>
              </w:rPr>
            </w:pPr>
            <w:r>
              <w:rPr>
                <w:sz w:val="20"/>
                <w:szCs w:val="20"/>
              </w:rPr>
              <w:t>418</w:t>
            </w:r>
          </w:p>
        </w:tc>
        <w:tc>
          <w:tcPr>
            <w:tcW w:w="2268" w:type="dxa"/>
          </w:tcPr>
          <w:p w14:paraId="2AE620F2" w14:textId="77777777" w:rsidR="007A3E3C" w:rsidRPr="00B15032" w:rsidRDefault="007A3E3C" w:rsidP="00CE6FCD">
            <w:pPr>
              <w:tabs>
                <w:tab w:val="left" w:pos="162"/>
              </w:tabs>
              <w:ind w:left="44"/>
              <w:jc w:val="center"/>
              <w:rPr>
                <w:sz w:val="20"/>
                <w:szCs w:val="20"/>
              </w:rPr>
            </w:pPr>
            <w:r w:rsidRPr="00B15032">
              <w:rPr>
                <w:sz w:val="20"/>
                <w:szCs w:val="20"/>
              </w:rPr>
              <w:t xml:space="preserve">до «31» грудня </w:t>
            </w:r>
          </w:p>
          <w:p w14:paraId="598ABA3B" w14:textId="77777777" w:rsidR="007A3E3C" w:rsidRPr="00B15032" w:rsidRDefault="007A3E3C" w:rsidP="00CE6FC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7A3E3C" w:rsidRPr="00B15032" w14:paraId="1A28BBF9" w14:textId="77777777" w:rsidTr="00CE6FCD">
        <w:trPr>
          <w:trHeight w:val="489"/>
        </w:trPr>
        <w:tc>
          <w:tcPr>
            <w:tcW w:w="3289" w:type="dxa"/>
          </w:tcPr>
          <w:p w14:paraId="2CA5D1BC" w14:textId="77777777" w:rsidR="007A3E3C" w:rsidRDefault="007A3E3C" w:rsidP="00CE6FCD">
            <w:pPr>
              <w:jc w:val="center"/>
              <w:rPr>
                <w:rFonts w:eastAsia="Times New Roman" w:cs="Times New Roman"/>
                <w:b/>
                <w:i/>
                <w:sz w:val="20"/>
                <w:szCs w:val="20"/>
                <w:highlight w:val="white"/>
              </w:rPr>
            </w:pPr>
            <w:r w:rsidRPr="00607708">
              <w:rPr>
                <w:sz w:val="20"/>
                <w:szCs w:val="20"/>
              </w:rPr>
              <w:t>рис</w:t>
            </w:r>
          </w:p>
        </w:tc>
        <w:tc>
          <w:tcPr>
            <w:tcW w:w="1276" w:type="dxa"/>
          </w:tcPr>
          <w:p w14:paraId="706BECFD" w14:textId="77777777" w:rsidR="007A3E3C" w:rsidRPr="00B15032" w:rsidRDefault="007A3E3C" w:rsidP="00CE6FC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776FA1FD" w14:textId="77777777" w:rsidR="007A3E3C" w:rsidRPr="00B15032" w:rsidRDefault="007A3E3C" w:rsidP="00CE6FCD">
            <w:pPr>
              <w:jc w:val="center"/>
              <w:rPr>
                <w:sz w:val="20"/>
                <w:szCs w:val="20"/>
              </w:rPr>
            </w:pPr>
            <w:r w:rsidRPr="00B15032">
              <w:rPr>
                <w:sz w:val="20"/>
                <w:szCs w:val="20"/>
              </w:rPr>
              <w:t>кг</w:t>
            </w:r>
          </w:p>
        </w:tc>
        <w:tc>
          <w:tcPr>
            <w:tcW w:w="1417" w:type="dxa"/>
          </w:tcPr>
          <w:p w14:paraId="10A65F53" w14:textId="77777777" w:rsidR="007A3E3C" w:rsidRDefault="007A3E3C" w:rsidP="00CE6FCD">
            <w:pPr>
              <w:jc w:val="center"/>
              <w:rPr>
                <w:sz w:val="20"/>
                <w:szCs w:val="20"/>
              </w:rPr>
            </w:pPr>
            <w:r>
              <w:rPr>
                <w:sz w:val="20"/>
                <w:szCs w:val="20"/>
              </w:rPr>
              <w:t>2015</w:t>
            </w:r>
          </w:p>
        </w:tc>
        <w:tc>
          <w:tcPr>
            <w:tcW w:w="2268" w:type="dxa"/>
          </w:tcPr>
          <w:p w14:paraId="59A3A2BB" w14:textId="77777777" w:rsidR="007A3E3C" w:rsidRPr="00B15032" w:rsidRDefault="007A3E3C" w:rsidP="00CE6FCD">
            <w:pPr>
              <w:tabs>
                <w:tab w:val="left" w:pos="162"/>
              </w:tabs>
              <w:ind w:left="44"/>
              <w:jc w:val="center"/>
              <w:rPr>
                <w:sz w:val="20"/>
                <w:szCs w:val="20"/>
              </w:rPr>
            </w:pPr>
            <w:r w:rsidRPr="00B15032">
              <w:rPr>
                <w:sz w:val="20"/>
                <w:szCs w:val="20"/>
              </w:rPr>
              <w:t xml:space="preserve">до «31» грудня </w:t>
            </w:r>
          </w:p>
          <w:p w14:paraId="75A6C6E2" w14:textId="77777777" w:rsidR="007A3E3C" w:rsidRPr="00B15032" w:rsidRDefault="007A3E3C" w:rsidP="00CE6FC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27BFFA47" w14:textId="77777777" w:rsidR="007A3E3C" w:rsidRPr="00DB6613" w:rsidRDefault="007A3E3C" w:rsidP="007A3E3C">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0AF13FD3" w14:textId="77777777" w:rsidR="007A3E3C" w:rsidRPr="00607708" w:rsidRDefault="007A3E3C" w:rsidP="007A3E3C">
      <w:pPr>
        <w:tabs>
          <w:tab w:val="left" w:pos="0"/>
        </w:tabs>
        <w:ind w:left="142"/>
        <w:jc w:val="both"/>
        <w:rPr>
          <w:sz w:val="20"/>
          <w:szCs w:val="20"/>
        </w:rPr>
      </w:pPr>
      <w:r w:rsidRPr="006C55F6">
        <w:rPr>
          <w:rFonts w:eastAsia="Times New Roman" w:cs="Times New Roman"/>
          <w:bCs/>
          <w:sz w:val="20"/>
          <w:szCs w:val="20"/>
        </w:rPr>
        <w:t xml:space="preserve">     </w:t>
      </w:r>
      <w:r w:rsidRPr="00607708">
        <w:rPr>
          <w:b/>
          <w:bCs/>
          <w:sz w:val="20"/>
          <w:szCs w:val="20"/>
        </w:rPr>
        <w:t>Борошно пшеничне</w:t>
      </w:r>
      <w:r w:rsidRPr="00607708">
        <w:rPr>
          <w:sz w:val="20"/>
          <w:szCs w:val="20"/>
        </w:rPr>
        <w:t xml:space="preserve"> - сорт – вищий, колір білий, без грудочок, запах - властивий пшеничному борошну, без сторонніх запахів, не затхлий, не пліснявий, повинно бути запаковано в споживчу тару з маркуванням на кожній пакованій одиниці. Борошно повинно бути без уражень шкідниками. Вологість не більше 15%. Необхідне фасування борошна пшеничного, що може постачатися: пакети, мішки не більше </w:t>
      </w:r>
      <w:r>
        <w:rPr>
          <w:sz w:val="20"/>
          <w:szCs w:val="20"/>
        </w:rPr>
        <w:t>25</w:t>
      </w:r>
      <w:r w:rsidRPr="00607708">
        <w:rPr>
          <w:sz w:val="20"/>
          <w:szCs w:val="20"/>
        </w:rPr>
        <w:t xml:space="preserve"> кг. Без ГМО. Продукція має відповідати  вимогам  діючого санітарного законодавства України, ДСТУ, ГОСТ, ТУ, які діють на території України.  </w:t>
      </w:r>
    </w:p>
    <w:p w14:paraId="642A46CF" w14:textId="77777777" w:rsidR="007A3E3C" w:rsidRPr="00607708" w:rsidRDefault="007A3E3C" w:rsidP="007A3E3C">
      <w:pPr>
        <w:jc w:val="both"/>
        <w:rPr>
          <w:sz w:val="20"/>
          <w:szCs w:val="20"/>
        </w:rPr>
      </w:pPr>
      <w:r w:rsidRPr="00607708">
        <w:rPr>
          <w:b/>
          <w:bCs/>
          <w:sz w:val="20"/>
          <w:szCs w:val="20"/>
        </w:rPr>
        <w:t>- Крупа гречана</w:t>
      </w:r>
      <w:r w:rsidRPr="00607708">
        <w:rPr>
          <w:sz w:val="20"/>
          <w:szCs w:val="20"/>
        </w:rPr>
        <w:t xml:space="preserve"> – ядра гречки цілі або надколоті. Колір коричневий різних відтінків. Запах відповідає крупі даного виду, без затхлого, пліснявого або інших сторонніх запахів. Зараженість амбарними шкідниками не допускається. Крупа запакована в споживчу тару, кожна одиниця якої повинна мати пакувальний ярлик.</w:t>
      </w:r>
    </w:p>
    <w:p w14:paraId="44EB6624" w14:textId="77777777" w:rsidR="007A3E3C" w:rsidRPr="00607708" w:rsidRDefault="007A3E3C" w:rsidP="007A3E3C">
      <w:pPr>
        <w:jc w:val="both"/>
        <w:rPr>
          <w:sz w:val="20"/>
          <w:szCs w:val="20"/>
        </w:rPr>
      </w:pPr>
      <w:r w:rsidRPr="00607708">
        <w:rPr>
          <w:b/>
          <w:bCs/>
          <w:sz w:val="20"/>
          <w:szCs w:val="20"/>
        </w:rPr>
        <w:t>- Крупа пшенична арнаутка</w:t>
      </w:r>
      <w:r w:rsidRPr="00607708">
        <w:rPr>
          <w:sz w:val="20"/>
          <w:szCs w:val="20"/>
        </w:rPr>
        <w:t xml:space="preserve"> - подрібнені частинки зерен пшениці різної форми, колір від світло-коричневого до коричневого, смак і запах відповідає пшеничній крупі, без затхлого, пліснявого та інших сторонніх запахів і присмаків. Наявність шкідників не допускається. Крупа пшенична запакована в споживчу тару, кожна одиниця якої повинна мати пакувальний ярлик.</w:t>
      </w:r>
    </w:p>
    <w:p w14:paraId="15BA3EFC" w14:textId="77777777" w:rsidR="007A3E3C" w:rsidRPr="00607708" w:rsidRDefault="007A3E3C" w:rsidP="007A3E3C">
      <w:pPr>
        <w:jc w:val="both"/>
        <w:rPr>
          <w:sz w:val="20"/>
          <w:szCs w:val="20"/>
        </w:rPr>
      </w:pPr>
      <w:r w:rsidRPr="00607708">
        <w:rPr>
          <w:b/>
          <w:bCs/>
          <w:sz w:val="20"/>
          <w:szCs w:val="20"/>
        </w:rPr>
        <w:t>- Пшоно</w:t>
      </w:r>
      <w:r w:rsidRPr="00607708">
        <w:rPr>
          <w:sz w:val="20"/>
          <w:szCs w:val="20"/>
        </w:rPr>
        <w:t xml:space="preserve"> – круглої форми світло - жовтого кольору, чисте без різних домішок, без затхлого, пліснявого і інших запахів. Запаковане в споживчу тару, кожна одиниця якої повинна мати пакувальний ярлик.</w:t>
      </w:r>
    </w:p>
    <w:p w14:paraId="250EFD19" w14:textId="77777777" w:rsidR="007A3E3C" w:rsidRPr="00607708" w:rsidRDefault="007A3E3C" w:rsidP="007A3E3C">
      <w:pPr>
        <w:jc w:val="both"/>
        <w:rPr>
          <w:sz w:val="20"/>
          <w:szCs w:val="20"/>
        </w:rPr>
      </w:pPr>
      <w:r>
        <w:rPr>
          <w:sz w:val="20"/>
          <w:szCs w:val="20"/>
        </w:rPr>
        <w:t xml:space="preserve">- </w:t>
      </w:r>
      <w:r w:rsidRPr="00607708">
        <w:rPr>
          <w:b/>
          <w:bCs/>
          <w:sz w:val="20"/>
          <w:szCs w:val="20"/>
        </w:rPr>
        <w:t>Крупа вівсяна плющена</w:t>
      </w:r>
      <w:r w:rsidRPr="00607708">
        <w:rPr>
          <w:sz w:val="20"/>
          <w:szCs w:val="20"/>
        </w:rPr>
        <w:t>– колір від кремового до світло-коричневого, смак і запах відповідає вівсяним пластівцям, без затхлого, пліснявого і інших запасів. Зараженість амбарними шкідниками не допускається. Крупа запакована в споживчу тару, кожна одиниця якої має пакувальний ярлик.</w:t>
      </w:r>
    </w:p>
    <w:p w14:paraId="4B1080B9" w14:textId="77777777" w:rsidR="007A3E3C" w:rsidRPr="00607708" w:rsidRDefault="007A3E3C" w:rsidP="007A3E3C">
      <w:pPr>
        <w:pStyle w:val="Web"/>
        <w:spacing w:before="0" w:beforeAutospacing="0" w:after="0" w:afterAutospacing="0"/>
        <w:jc w:val="both"/>
        <w:rPr>
          <w:rFonts w:eastAsia="Calibri" w:cs="Calibri"/>
          <w:sz w:val="20"/>
          <w:szCs w:val="20"/>
        </w:rPr>
      </w:pPr>
      <w:r w:rsidRPr="00607708">
        <w:rPr>
          <w:rFonts w:eastAsia="Calibri" w:cs="Calibri"/>
          <w:b/>
          <w:bCs/>
          <w:sz w:val="20"/>
          <w:szCs w:val="20"/>
        </w:rPr>
        <w:t>- Крупа ячна</w:t>
      </w:r>
      <w:r w:rsidRPr="00607708">
        <w:rPr>
          <w:rFonts w:eastAsia="Calibri" w:cs="Calibri"/>
          <w:sz w:val="20"/>
          <w:szCs w:val="20"/>
        </w:rPr>
        <w:t xml:space="preserve"> - вищого ґатунку, зі смаком і запахом, характерним ячнній крупі, без домішок, затхлості, плісняви, та інших сторонніх запахів, не заражена шкідниками. Товар має бути в упаковці підприємства-виробника, яка не повинна бути деформованою або пошкодженою. На кожній одиниці фасування повинна бути наступна інформація: назва харчового продукту, назва та адреса підприємства-виробника, вага нетто, склад, дата виготовлення, термін придатності та умови зберігання, дані про харчову та енергетичну цінність. </w:t>
      </w:r>
    </w:p>
    <w:p w14:paraId="53270E79" w14:textId="77777777" w:rsidR="007A3E3C" w:rsidRPr="00607708" w:rsidRDefault="007A3E3C" w:rsidP="007A3E3C">
      <w:pPr>
        <w:tabs>
          <w:tab w:val="left" w:pos="536"/>
        </w:tabs>
        <w:jc w:val="both"/>
        <w:rPr>
          <w:sz w:val="20"/>
          <w:szCs w:val="20"/>
        </w:rPr>
      </w:pPr>
      <w:r w:rsidRPr="00607708">
        <w:rPr>
          <w:b/>
          <w:bCs/>
          <w:sz w:val="20"/>
          <w:szCs w:val="20"/>
        </w:rPr>
        <w:t>- Крупа перлова</w:t>
      </w:r>
      <w:r w:rsidRPr="00607708">
        <w:rPr>
          <w:sz w:val="20"/>
          <w:szCs w:val="20"/>
        </w:rPr>
        <w:t xml:space="preserve"> - Запах – властивий перловій  крупі без цвілого, затхлого та інших сторонніх запахів. Смак – властивий перловій крупі без сторонніх присмаків. Не дозволяється зараженість та забрудненість  шкідниками.</w:t>
      </w:r>
    </w:p>
    <w:p w14:paraId="1C632CEC" w14:textId="77777777" w:rsidR="007A3E3C" w:rsidRPr="00607708" w:rsidRDefault="007A3E3C" w:rsidP="007A3E3C">
      <w:pPr>
        <w:jc w:val="both"/>
        <w:rPr>
          <w:sz w:val="20"/>
          <w:szCs w:val="20"/>
        </w:rPr>
      </w:pPr>
      <w:r w:rsidRPr="00607708">
        <w:rPr>
          <w:b/>
          <w:bCs/>
          <w:sz w:val="20"/>
          <w:szCs w:val="20"/>
        </w:rPr>
        <w:t>- Крупа кукурудзяна</w:t>
      </w:r>
      <w:r w:rsidRPr="00607708">
        <w:rPr>
          <w:sz w:val="20"/>
          <w:szCs w:val="20"/>
        </w:rPr>
        <w:t xml:space="preserve"> - вищого гатунку – часточки подрібненого зерна кукурудзи мають бути повністю відокремлені від плодових і насінневих оболонок, жовтого кольору, зі смаком і запахом, характерними кукурудзяній крупі, без затхлості, плісняви та інших сторонніх запахів. Відповідність вимогам діючого санітарного законодавства України обов’язкова. Товар має бути в упаковці підприємства-виробника, яка не </w:t>
      </w:r>
      <w:r w:rsidRPr="00607708">
        <w:rPr>
          <w:sz w:val="20"/>
          <w:szCs w:val="20"/>
        </w:rPr>
        <w:lastRenderedPageBreak/>
        <w:t xml:space="preserve">повинна бути деформованою або пошкодженою. </w:t>
      </w:r>
    </w:p>
    <w:p w14:paraId="23BF21F8" w14:textId="77777777" w:rsidR="007A3E3C" w:rsidRPr="00607708" w:rsidRDefault="007A3E3C" w:rsidP="007A3E3C">
      <w:pPr>
        <w:jc w:val="both"/>
        <w:rPr>
          <w:sz w:val="20"/>
          <w:szCs w:val="20"/>
        </w:rPr>
      </w:pPr>
      <w:r>
        <w:rPr>
          <w:sz w:val="20"/>
          <w:szCs w:val="20"/>
        </w:rPr>
        <w:t xml:space="preserve">- </w:t>
      </w:r>
      <w:r w:rsidRPr="00607708">
        <w:rPr>
          <w:b/>
          <w:bCs/>
          <w:sz w:val="20"/>
          <w:szCs w:val="20"/>
        </w:rPr>
        <w:t xml:space="preserve">Рис </w:t>
      </w:r>
      <w:r w:rsidRPr="00607708">
        <w:rPr>
          <w:sz w:val="20"/>
          <w:szCs w:val="20"/>
        </w:rPr>
        <w:t>– має бути шліфований, білого кольору, без квіткових плівок, плодових та насіннєвих оболонок. Смак і запах характерний рису, без затхлості, плісняви та інших сторонніх запахів. Рис повинен бути запакований в споживчу тару, кожна одиниця якої повинна мати пакувальний ярлик.</w:t>
      </w:r>
    </w:p>
    <w:p w14:paraId="7686DE76" w14:textId="77777777" w:rsidR="007A3E3C" w:rsidRPr="006C55F6" w:rsidRDefault="007A3E3C" w:rsidP="007A3E3C">
      <w:pPr>
        <w:ind w:firstLine="709"/>
        <w:jc w:val="both"/>
        <w:rPr>
          <w:rFonts w:eastAsia="SimSun" w:cs="Times New Roman"/>
          <w:bCs/>
          <w:kern w:val="2"/>
          <w:sz w:val="20"/>
          <w:szCs w:val="20"/>
          <w:lang w:eastAsia="hi-IN" w:bidi="hi-IN"/>
        </w:rPr>
      </w:pPr>
    </w:p>
    <w:p w14:paraId="2F115DFD" w14:textId="77777777" w:rsidR="007A3E3C" w:rsidRPr="006C55F6" w:rsidRDefault="007A3E3C" w:rsidP="007A3E3C">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7A3E3C" w:rsidRPr="006C55F6" w14:paraId="11F7B325" w14:textId="77777777" w:rsidTr="00CE6FCD">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484F75F9" w14:textId="77777777" w:rsidR="007A3E3C" w:rsidRPr="006C55F6" w:rsidRDefault="007A3E3C" w:rsidP="00CE6FCD">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2B6D9ABD" w14:textId="77777777" w:rsidR="007A3E3C" w:rsidRPr="006C55F6" w:rsidRDefault="007A3E3C" w:rsidP="00CE6FCD">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26D610DD" w14:textId="77777777" w:rsidR="007A3E3C" w:rsidRPr="006C55F6" w:rsidRDefault="007A3E3C" w:rsidP="00CE6FCD">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7D51BDB5" w14:textId="77777777" w:rsidR="007A3E3C" w:rsidRPr="006C55F6" w:rsidRDefault="007A3E3C" w:rsidP="00CE6FCD">
            <w:pPr>
              <w:spacing w:line="276" w:lineRule="auto"/>
              <w:ind w:firstLine="634"/>
              <w:contextualSpacing/>
              <w:rPr>
                <w:rFonts w:cs="Times New Roman"/>
                <w:b/>
                <w:sz w:val="20"/>
                <w:szCs w:val="20"/>
                <w:lang w:eastAsia="uk-UA"/>
              </w:rPr>
            </w:pPr>
            <w:r w:rsidRPr="006C55F6">
              <w:rPr>
                <w:rFonts w:cs="Times New Roman"/>
                <w:sz w:val="20"/>
                <w:szCs w:val="20"/>
              </w:rPr>
              <w:t>Продукція, що постачається, повинна мати спожиткове пакування з маркуванням, яке забезпечує чіткість читання:</w:t>
            </w:r>
          </w:p>
          <w:p w14:paraId="43E7B746" w14:textId="77777777" w:rsidR="007A3E3C" w:rsidRPr="006C55F6" w:rsidRDefault="007A3E3C" w:rsidP="007A3E3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2B6ECF46" w14:textId="77777777" w:rsidR="007A3E3C" w:rsidRPr="006C55F6" w:rsidRDefault="007A3E3C" w:rsidP="007A3E3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та повної адреси і телефону виробника, адреси потужностей виробництва;</w:t>
            </w:r>
          </w:p>
          <w:p w14:paraId="551277E9" w14:textId="77777777" w:rsidR="007A3E3C" w:rsidRPr="006C55F6" w:rsidRDefault="007A3E3C" w:rsidP="007A3E3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408F0A6C" w14:textId="77777777" w:rsidR="007A3E3C" w:rsidRPr="006C55F6" w:rsidRDefault="007A3E3C" w:rsidP="007A3E3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4A8FB6D6" w14:textId="77777777" w:rsidR="007A3E3C" w:rsidRPr="006C55F6" w:rsidRDefault="007A3E3C" w:rsidP="007A3E3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06661546" w14:textId="77777777" w:rsidR="007A3E3C" w:rsidRPr="006C55F6" w:rsidRDefault="007A3E3C" w:rsidP="007A3E3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154AD6A1" w14:textId="77777777" w:rsidR="007A3E3C" w:rsidRPr="006C55F6" w:rsidRDefault="007A3E3C" w:rsidP="007A3E3C">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73189ACE" w14:textId="77777777" w:rsidR="007A3E3C" w:rsidRPr="006C55F6" w:rsidRDefault="007A3E3C" w:rsidP="00CE6FCD">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66A051E7" w14:textId="77777777" w:rsidR="007A3E3C" w:rsidRPr="006C55F6" w:rsidRDefault="007A3E3C" w:rsidP="007A3E3C">
      <w:pPr>
        <w:jc w:val="both"/>
        <w:rPr>
          <w:rFonts w:cs="Times New Roman"/>
          <w:sz w:val="20"/>
          <w:szCs w:val="20"/>
        </w:rPr>
      </w:pPr>
    </w:p>
    <w:p w14:paraId="2F73055A" w14:textId="77777777" w:rsidR="007A3E3C" w:rsidRPr="006C55F6" w:rsidRDefault="007A3E3C" w:rsidP="007A3E3C">
      <w:pPr>
        <w:jc w:val="both"/>
        <w:rPr>
          <w:rFonts w:cs="Times New Roman"/>
          <w:sz w:val="20"/>
          <w:szCs w:val="20"/>
        </w:rPr>
      </w:pPr>
      <w:r w:rsidRPr="006C55F6">
        <w:rPr>
          <w:rFonts w:cs="Times New Roman"/>
          <w:sz w:val="20"/>
          <w:szCs w:val="20"/>
        </w:rPr>
        <w:t>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нетто,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6AA11FE4" w14:textId="77777777" w:rsidR="007A3E3C" w:rsidRPr="006C55F6" w:rsidRDefault="007A3E3C" w:rsidP="007A3E3C">
      <w:pPr>
        <w:jc w:val="both"/>
        <w:rPr>
          <w:rFonts w:cs="Times New Roman"/>
          <w:b/>
          <w:bCs/>
          <w:sz w:val="20"/>
          <w:szCs w:val="20"/>
          <w:u w:val="single"/>
        </w:rPr>
      </w:pPr>
      <w:r w:rsidRPr="006C55F6">
        <w:rPr>
          <w:rFonts w:cs="Times New Roman"/>
          <w:b/>
          <w:bCs/>
          <w:sz w:val="20"/>
          <w:szCs w:val="20"/>
          <w:u w:val="single"/>
        </w:rPr>
        <w:t>Умови поставки товару:</w:t>
      </w:r>
    </w:p>
    <w:p w14:paraId="425151A2" w14:textId="77777777" w:rsidR="007A3E3C" w:rsidRPr="006C55F6" w:rsidRDefault="007A3E3C" w:rsidP="007A3E3C">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44B58B98" w14:textId="77777777" w:rsidR="007A3E3C" w:rsidRPr="006C55F6" w:rsidRDefault="007A3E3C" w:rsidP="007A3E3C">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03B91499" w14:textId="77777777" w:rsidR="007A3E3C" w:rsidRPr="006C55F6" w:rsidRDefault="007A3E3C" w:rsidP="007A3E3C">
      <w:pPr>
        <w:jc w:val="both"/>
        <w:rPr>
          <w:rFonts w:cs="Times New Roman"/>
          <w:sz w:val="20"/>
          <w:szCs w:val="20"/>
        </w:rPr>
      </w:pPr>
      <w:r w:rsidRPr="006C55F6">
        <w:rPr>
          <w:rFonts w:cs="Times New Roman"/>
          <w:sz w:val="20"/>
          <w:szCs w:val="20"/>
        </w:rPr>
        <w:t>Товар поставляється в тарі постачальника.</w:t>
      </w:r>
    </w:p>
    <w:p w14:paraId="6E57E4E8" w14:textId="77777777" w:rsidR="007A3E3C" w:rsidRPr="006C55F6" w:rsidRDefault="007A3E3C" w:rsidP="007A3E3C">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3CF58261" w14:textId="77777777" w:rsidR="007A3E3C" w:rsidRPr="006C55F6" w:rsidRDefault="007A3E3C" w:rsidP="007A3E3C">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3197A4DF" w14:textId="77777777" w:rsidR="007A3E3C" w:rsidRPr="006C55F6" w:rsidRDefault="007A3E3C" w:rsidP="007A3E3C">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219CCC7D" w14:textId="77777777" w:rsidR="007A3E3C" w:rsidRDefault="007A3E3C" w:rsidP="007A3E3C">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потужностей згідно з вимогами ст. 25 цього Закону;</w:t>
      </w:r>
    </w:p>
    <w:p w14:paraId="175DAA35" w14:textId="77777777" w:rsidR="007A3E3C" w:rsidRDefault="007A3E3C" w:rsidP="007A3E3C">
      <w:pPr>
        <w:jc w:val="both"/>
        <w:rPr>
          <w:rFonts w:cs="Times New Roman"/>
          <w:sz w:val="20"/>
          <w:szCs w:val="20"/>
        </w:rPr>
      </w:pPr>
      <w:r>
        <w:rPr>
          <w:rFonts w:cs="Times New Roman"/>
          <w:sz w:val="20"/>
          <w:szCs w:val="20"/>
        </w:rPr>
        <w:t>2).</w:t>
      </w:r>
      <w:r w:rsidRPr="006C55F6">
        <w:rPr>
          <w:rFonts w:cs="Times New Roman"/>
          <w:sz w:val="20"/>
          <w:szCs w:val="20"/>
        </w:rPr>
        <w:t xml:space="preserve"> Скан-копію оригіналу діючого сертифікату на систему управління безпечністю харчових продуктів </w:t>
      </w:r>
      <w:r w:rsidRPr="006C55F6">
        <w:rPr>
          <w:rFonts w:cs="Times New Roman"/>
          <w:sz w:val="20"/>
          <w:szCs w:val="20"/>
        </w:rPr>
        <w:lastRenderedPageBreak/>
        <w:t>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7F578213" w14:textId="77777777" w:rsidR="007A3E3C" w:rsidRDefault="007A3E3C" w:rsidP="007A3E3C">
      <w:pPr>
        <w:jc w:val="both"/>
        <w:rPr>
          <w:rFonts w:cs="Times New Roman"/>
          <w:sz w:val="20"/>
          <w:szCs w:val="20"/>
        </w:rPr>
      </w:pPr>
      <w:r>
        <w:rPr>
          <w:rFonts w:cs="Times New Roman"/>
          <w:sz w:val="20"/>
          <w:szCs w:val="20"/>
        </w:rPr>
        <w:t>3).</w:t>
      </w:r>
      <w:r w:rsidRPr="006C55F6">
        <w:rPr>
          <w:rFonts w:cs="Times New Roman"/>
          <w:sz w:val="20"/>
          <w:szCs w:val="20"/>
        </w:rPr>
        <w:t>Скан-копію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5B261666" w14:textId="77777777" w:rsidR="007A3E3C" w:rsidRDefault="007A3E3C" w:rsidP="007A3E3C">
      <w:pPr>
        <w:jc w:val="both"/>
        <w:rPr>
          <w:rFonts w:cs="Times New Roman"/>
          <w:sz w:val="20"/>
          <w:szCs w:val="20"/>
        </w:rPr>
      </w:pPr>
      <w:r>
        <w:rPr>
          <w:rFonts w:cs="Times New Roman"/>
          <w:sz w:val="20"/>
          <w:szCs w:val="20"/>
        </w:rPr>
        <w:t>4).</w:t>
      </w:r>
      <w:r w:rsidRPr="006C55F6">
        <w:rPr>
          <w:rFonts w:cs="Times New Roman"/>
          <w:sz w:val="20"/>
          <w:szCs w:val="20"/>
        </w:rPr>
        <w:t>Скан-копію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5F363EDD" w14:textId="77777777" w:rsidR="007A3E3C" w:rsidRDefault="007A3E3C" w:rsidP="007A3E3C">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3F168F22" w14:textId="77777777" w:rsidR="007A3E3C" w:rsidRDefault="007A3E3C" w:rsidP="007A3E3C">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5F7DE5F0" w14:textId="77777777" w:rsidR="007A3E3C" w:rsidRDefault="007A3E3C" w:rsidP="007A3E3C">
      <w:pPr>
        <w:jc w:val="both"/>
        <w:rPr>
          <w:rFonts w:cs="Times New Roman"/>
          <w:sz w:val="20"/>
          <w:szCs w:val="20"/>
        </w:rPr>
      </w:pPr>
      <w:r>
        <w:rPr>
          <w:rFonts w:cs="Times New Roman"/>
          <w:sz w:val="20"/>
          <w:szCs w:val="20"/>
        </w:rPr>
        <w:t>7).</w:t>
      </w:r>
      <w:r w:rsidRPr="006C55F6">
        <w:rPr>
          <w:rFonts w:cs="Times New Roman"/>
          <w:sz w:val="20"/>
          <w:szCs w:val="20"/>
        </w:rPr>
        <w:t>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14:paraId="7BEB192D" w14:textId="77777777" w:rsidR="007A3E3C" w:rsidRDefault="007A3E3C" w:rsidP="007A3E3C">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0531D042" w14:textId="77777777" w:rsidR="007A3E3C" w:rsidRDefault="007A3E3C" w:rsidP="007A3E3C">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630F1FA8" w14:textId="77777777" w:rsidR="007A3E3C" w:rsidRDefault="007A3E3C" w:rsidP="007A3E3C">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563E6C43" w14:textId="77777777" w:rsidR="007A3E3C" w:rsidRDefault="007A3E3C" w:rsidP="007A3E3C">
      <w:pPr>
        <w:jc w:val="both"/>
        <w:rPr>
          <w:rFonts w:cs="Times New Roman"/>
          <w:bCs/>
          <w:sz w:val="20"/>
          <w:szCs w:val="20"/>
        </w:rPr>
      </w:pPr>
      <w:r>
        <w:rPr>
          <w:rFonts w:cs="Times New Roman"/>
          <w:sz w:val="20"/>
          <w:szCs w:val="20"/>
        </w:rPr>
        <w:t>11).</w:t>
      </w:r>
      <w:r w:rsidRPr="006C55F6">
        <w:rPr>
          <w:rFonts w:cs="Times New Roman"/>
          <w:sz w:val="20"/>
          <w:szCs w:val="20"/>
        </w:rPr>
        <w:t>Документ Держпродспоживслужби,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33CC2653" w14:textId="77777777" w:rsidR="007A3E3C" w:rsidRPr="006C55F6" w:rsidRDefault="007A3E3C" w:rsidP="007A3E3C">
      <w:pPr>
        <w:jc w:val="both"/>
        <w:rPr>
          <w:rFonts w:cs="Times New Roman"/>
          <w:bCs/>
          <w:sz w:val="20"/>
          <w:szCs w:val="20"/>
        </w:rPr>
      </w:pPr>
      <w:r>
        <w:rPr>
          <w:rFonts w:cs="Times New Roman"/>
          <w:bCs/>
          <w:sz w:val="20"/>
          <w:szCs w:val="20"/>
        </w:rPr>
        <w:t>12).</w:t>
      </w:r>
      <w:r w:rsidRPr="006C55F6">
        <w:rPr>
          <w:rFonts w:cs="Times New Roman"/>
          <w:bCs/>
          <w:sz w:val="20"/>
          <w:szCs w:val="20"/>
        </w:rPr>
        <w:t>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потужностей, який працює у зоні поводження з харчовими продуктами, а саме:</w:t>
      </w:r>
    </w:p>
    <w:p w14:paraId="39E70BC7" w14:textId="77777777" w:rsidR="007A3E3C" w:rsidRPr="006C55F6" w:rsidRDefault="007A3E3C" w:rsidP="007A3E3C">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6FBBB206" w14:textId="77777777" w:rsidR="007A3E3C" w:rsidRDefault="007A3E3C" w:rsidP="007A3E3C">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0EA97D21" w14:textId="77777777" w:rsidR="007A3E3C" w:rsidRDefault="007A3E3C" w:rsidP="007A3E3C">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173212AA" w14:textId="77777777" w:rsidR="007A3E3C" w:rsidRDefault="007A3E3C" w:rsidP="007A3E3C">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7702B5A8" w14:textId="77777777" w:rsidR="007A3E3C" w:rsidRPr="006C55F6" w:rsidRDefault="007A3E3C" w:rsidP="007A3E3C">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19165E90" w14:textId="77777777" w:rsidR="00B939E1" w:rsidRDefault="00B939E1" w:rsidP="00B939E1">
      <w:pPr>
        <w:ind w:left="5660"/>
        <w:jc w:val="right"/>
        <w:rPr>
          <w:rFonts w:eastAsia="Times New Roman" w:cs="Times New Roman"/>
        </w:rPr>
      </w:pPr>
    </w:p>
    <w:p w14:paraId="5A5B4DB9" w14:textId="7EA2A7FB" w:rsidR="00932478" w:rsidRPr="008A2C62" w:rsidRDefault="00B52EBE" w:rsidP="009D753E">
      <w:pPr>
        <w:jc w:val="both"/>
        <w:rPr>
          <w:shd w:val="clear" w:color="auto" w:fill="FFFFFF"/>
        </w:rPr>
      </w:pPr>
      <w:r w:rsidRPr="008A2C62">
        <w:rPr>
          <w:shd w:val="clear" w:color="auto" w:fill="FFFFFF"/>
        </w:rPr>
        <w:t>1</w:t>
      </w:r>
      <w:r w:rsidR="004E4BCD">
        <w:rPr>
          <w:shd w:val="clear" w:color="auto" w:fill="FFFFFF"/>
        </w:rPr>
        <w:t>1</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1D09017D"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E4BCD">
        <w:rPr>
          <w:rFonts w:eastAsia="Lucida Sans Unicode" w:cs="Tahoma"/>
          <w:szCs w:val="24"/>
          <w:shd w:val="clear" w:color="auto" w:fill="FFFFFF"/>
          <w:lang w:bidi="en-US"/>
        </w:rPr>
        <w:t>2</w:t>
      </w:r>
      <w:r w:rsidRPr="008A2C62">
        <w:rPr>
          <w:rFonts w:eastAsia="Lucida Sans Unicode" w:cs="Tahoma"/>
          <w:szCs w:val="24"/>
          <w:shd w:val="clear" w:color="auto" w:fill="FFFFFF"/>
          <w:lang w:bidi="en-US"/>
        </w:rPr>
        <w:t xml:space="preserve">.Очікувана вартість предмета закупівлі: </w:t>
      </w:r>
      <w:r w:rsidR="004E4BCD">
        <w:rPr>
          <w:rFonts w:eastAsia="Lucida Sans Unicode" w:cs="Tahoma"/>
          <w:szCs w:val="24"/>
          <w:shd w:val="clear" w:color="auto" w:fill="FFFFFF"/>
          <w:lang w:bidi="en-US"/>
        </w:rPr>
        <w:t>337304</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87859"/>
    <w:rsid w:val="002B6196"/>
    <w:rsid w:val="002F2B7A"/>
    <w:rsid w:val="003850CE"/>
    <w:rsid w:val="003A6027"/>
    <w:rsid w:val="00406049"/>
    <w:rsid w:val="00422FB2"/>
    <w:rsid w:val="00423F06"/>
    <w:rsid w:val="0043123B"/>
    <w:rsid w:val="00470AB6"/>
    <w:rsid w:val="0048695A"/>
    <w:rsid w:val="004949B7"/>
    <w:rsid w:val="004E4BCD"/>
    <w:rsid w:val="004F2882"/>
    <w:rsid w:val="00511E62"/>
    <w:rsid w:val="00532B22"/>
    <w:rsid w:val="00547F35"/>
    <w:rsid w:val="00592C42"/>
    <w:rsid w:val="00607344"/>
    <w:rsid w:val="0061751A"/>
    <w:rsid w:val="006304C7"/>
    <w:rsid w:val="00644B4B"/>
    <w:rsid w:val="006542E9"/>
    <w:rsid w:val="0066038E"/>
    <w:rsid w:val="00670825"/>
    <w:rsid w:val="00676620"/>
    <w:rsid w:val="00683110"/>
    <w:rsid w:val="006B6888"/>
    <w:rsid w:val="00723983"/>
    <w:rsid w:val="007262E5"/>
    <w:rsid w:val="00733753"/>
    <w:rsid w:val="00740046"/>
    <w:rsid w:val="007642A5"/>
    <w:rsid w:val="007A3E3C"/>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76018"/>
    <w:rsid w:val="00CA34C0"/>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86FCA"/>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 w:type="paragraph" w:customStyle="1" w:styleId="Web">
    <w:name w:val="Обычный (Web)"/>
    <w:aliases w:val="Обычный (Web) Знак Знак Знак,Обычный (Web) Знак Знак Знак Знак Знак Знак,Обычный (Web) Знак Знак Знак1 Знак Знак Знак Знак Знак Знак Знак Зн Знак Знак Знак, Знак2,Знак5"/>
    <w:basedOn w:val="a"/>
    <w:next w:val="ae"/>
    <w:qFormat/>
    <w:rsid w:val="007A3E3C"/>
    <w:pPr>
      <w:widowControl/>
      <w:suppressAutoHyphens w:val="0"/>
      <w:spacing w:before="100" w:beforeAutospacing="1" w:after="100" w:afterAutospacing="1"/>
    </w:pPr>
    <w:rPr>
      <w:rFonts w:ascii="Calibri" w:eastAsia="Times New Roman" w:hAnsi="Calibri" w:cs="Times New Roman"/>
      <w:color w:val="auto"/>
      <w:lang w:eastAsia="ru-RU" w:bidi="ar-SA"/>
    </w:rPr>
  </w:style>
  <w:style w:type="paragraph" w:styleId="ae">
    <w:name w:val="Normal (Web)"/>
    <w:basedOn w:val="a"/>
    <w:uiPriority w:val="99"/>
    <w:semiHidden/>
    <w:unhideWhenUsed/>
    <w:rsid w:val="007A3E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09048">
      <w:bodyDiv w:val="1"/>
      <w:marLeft w:val="0"/>
      <w:marRight w:val="0"/>
      <w:marTop w:val="0"/>
      <w:marBottom w:val="0"/>
      <w:divBdr>
        <w:top w:val="none" w:sz="0" w:space="0" w:color="auto"/>
        <w:left w:val="none" w:sz="0" w:space="0" w:color="auto"/>
        <w:bottom w:val="none" w:sz="0" w:space="0" w:color="auto"/>
        <w:right w:val="none" w:sz="0" w:space="0" w:color="auto"/>
      </w:divBdr>
    </w:div>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9-013803-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3184</Words>
  <Characters>18151</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15</cp:revision>
  <dcterms:created xsi:type="dcterms:W3CDTF">2023-06-27T13:05:00Z</dcterms:created>
  <dcterms:modified xsi:type="dcterms:W3CDTF">2024-02-09T18:36:00Z</dcterms:modified>
</cp:coreProperties>
</file>